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F7DC6F">
      <w:pPr>
        <w:spacing w:after="120" w:afterLines="50" w:line="360" w:lineRule="auto"/>
        <w:jc w:val="center"/>
        <w:rPr>
          <w:rFonts w:ascii="Times New Roman" w:hAnsi="Times New Roman" w:eastAsia="黑体" w:cs="Times New Roman"/>
          <w:color w:val="000000"/>
          <w:sz w:val="36"/>
          <w:szCs w:val="20"/>
        </w:rPr>
      </w:pPr>
      <w:r>
        <w:rPr>
          <w:rFonts w:ascii="Times New Roman" w:hAnsi="Times New Roman" w:eastAsia="黑体" w:cs="Times New Roman"/>
          <w:color w:val="000000"/>
          <w:sz w:val="36"/>
          <w:szCs w:val="20"/>
        </w:rPr>
        <w:t>上海中侨职业技术大学</w:t>
      </w:r>
    </w:p>
    <w:p w14:paraId="2ED07102">
      <w:pPr>
        <w:spacing w:after="120" w:afterLines="50" w:line="360" w:lineRule="auto"/>
        <w:jc w:val="center"/>
        <w:rPr>
          <w:rFonts w:ascii="Times New Roman" w:hAnsi="Times New Roman" w:eastAsia="黑体" w:cs="Times New Roman"/>
          <w:color w:val="000000"/>
          <w:sz w:val="36"/>
          <w:szCs w:val="20"/>
        </w:rPr>
      </w:pPr>
      <w:r>
        <w:rPr>
          <w:rFonts w:ascii="Times New Roman" w:hAnsi="Times New Roman" w:eastAsia="黑体" w:cs="Times New Roman"/>
          <w:color w:val="000000"/>
          <w:sz w:val="36"/>
          <w:szCs w:val="20"/>
        </w:rPr>
        <w:t>食品质量与安全（中本贯通）</w:t>
      </w:r>
    </w:p>
    <w:p w14:paraId="0D8C15AC">
      <w:pPr>
        <w:spacing w:after="120" w:afterLines="50" w:line="360" w:lineRule="auto"/>
        <w:jc w:val="center"/>
        <w:rPr>
          <w:rFonts w:ascii="Times New Roman" w:hAnsi="Times New Roman" w:eastAsia="黑体" w:cs="Times New Roman"/>
          <w:color w:val="000000"/>
          <w:sz w:val="36"/>
          <w:szCs w:val="20"/>
        </w:rPr>
      </w:pPr>
      <w:r>
        <w:rPr>
          <w:rFonts w:ascii="Times New Roman" w:hAnsi="Times New Roman" w:eastAsia="黑体" w:cs="Times New Roman"/>
          <w:color w:val="000000"/>
          <w:sz w:val="36"/>
          <w:szCs w:val="20"/>
        </w:rPr>
        <w:t>《技能水平测试—专业技能基础》考试大纲</w:t>
      </w:r>
    </w:p>
    <w:p w14:paraId="522826F3">
      <w:pPr>
        <w:adjustRightInd/>
        <w:snapToGrid/>
        <w:spacing w:after="0" w:line="360" w:lineRule="auto"/>
        <w:ind w:firstLine="422" w:firstLineChars="200"/>
        <w:jc w:val="both"/>
        <w:rPr>
          <w:rFonts w:ascii="Times New Roman" w:hAnsi="Times New Roman" w:cs="Times New Roman" w:eastAsiaTheme="minorEastAsia"/>
          <w:b/>
          <w:bCs/>
          <w:sz w:val="21"/>
          <w:szCs w:val="21"/>
        </w:rPr>
      </w:pPr>
    </w:p>
    <w:p w14:paraId="696B0C58">
      <w:pPr>
        <w:pStyle w:val="14"/>
        <w:spacing w:line="360" w:lineRule="auto"/>
        <w:ind w:left="482" w:firstLine="0" w:firstLineChars="0"/>
        <w:rPr>
          <w:rFonts w:ascii="Times New Roman" w:hAnsi="Times New Roman" w:cs="Times New Roman"/>
          <w:sz w:val="24"/>
          <w:szCs w:val="24"/>
        </w:rPr>
      </w:pPr>
      <w:r>
        <w:rPr>
          <w:rFonts w:ascii="Times New Roman" w:hAnsi="Times New Roman" w:cs="Times New Roman"/>
          <w:b/>
          <w:bCs/>
          <w:sz w:val="24"/>
          <w:szCs w:val="24"/>
        </w:rPr>
        <w:t>一、考试性质</w:t>
      </w:r>
    </w:p>
    <w:p w14:paraId="4AC58487">
      <w:pPr>
        <w:adjustRightInd/>
        <w:snapToGrid/>
        <w:spacing w:after="0" w:line="360" w:lineRule="auto"/>
        <w:ind w:firstLine="480" w:firstLineChars="20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《技能水平测试—专业技能基础》考试大纲仅适用于上海食品科技学校202</w:t>
      </w:r>
      <w:r>
        <w:rPr>
          <w:rFonts w:hint="eastAsia" w:ascii="Times New Roman" w:hAnsi="Times New Roman" w:cs="Times New Roman" w:eastAsiaTheme="minorEastAsia"/>
          <w:sz w:val="24"/>
          <w:szCs w:val="24"/>
          <w:lang w:val="en-US" w:eastAsia="zh-CN"/>
        </w:rPr>
        <w:t>3</w:t>
      </w:r>
      <w:r>
        <w:rPr>
          <w:rFonts w:ascii="Times New Roman" w:hAnsi="Times New Roman" w:cs="Times New Roman" w:eastAsiaTheme="minorEastAsia"/>
          <w:sz w:val="24"/>
          <w:szCs w:val="24"/>
        </w:rPr>
        <w:t>年食品质量与安全专业（中本贯通）转段考试的学生。主要考察学生对食品质量与安全专业核心课程相关重点知识的掌握情况，包括专业基本原理、食品分析与检测、食品质量控制管理等。</w:t>
      </w:r>
    </w:p>
    <w:p w14:paraId="167A12DA">
      <w:pPr>
        <w:pStyle w:val="14"/>
        <w:spacing w:line="360" w:lineRule="auto"/>
        <w:ind w:left="482" w:firstLine="0" w:firstLineChars="0"/>
        <w:rPr>
          <w:rFonts w:ascii="Times New Roman" w:hAnsi="Times New Roman" w:cs="Times New Roman"/>
          <w:b/>
          <w:bCs/>
          <w:sz w:val="24"/>
          <w:szCs w:val="24"/>
        </w:rPr>
      </w:pPr>
      <w:r>
        <w:rPr>
          <w:rFonts w:ascii="Times New Roman" w:hAnsi="Times New Roman" w:cs="Times New Roman"/>
          <w:b/>
          <w:bCs/>
          <w:sz w:val="24"/>
          <w:szCs w:val="24"/>
        </w:rPr>
        <w:t>二、考试要求</w:t>
      </w:r>
    </w:p>
    <w:p w14:paraId="6431E692">
      <w:pPr>
        <w:pStyle w:val="14"/>
        <w:spacing w:line="360" w:lineRule="auto"/>
        <w:ind w:firstLine="566" w:firstLineChars="236"/>
        <w:rPr>
          <w:rFonts w:ascii="Times New Roman" w:hAnsi="Times New Roman" w:cs="Times New Roman"/>
          <w:sz w:val="24"/>
          <w:szCs w:val="24"/>
        </w:rPr>
      </w:pPr>
      <w:r>
        <w:rPr>
          <w:rFonts w:ascii="Times New Roman" w:hAnsi="Times New Roman" w:cs="Times New Roman"/>
          <w:sz w:val="24"/>
          <w:szCs w:val="24"/>
        </w:rPr>
        <w:t>1.考试范围：基础化学模块（无机化学、有机化学、生物化学）；食品质量检验模块（分析化学、食品理化常规检验、食品微生物基础、食品微生物常规检验）；食品质量控制模块（食品标准与法规、实验室管理）；食品加工模块（原辅料与生产管理）等四个知识模块，考察学生是否具备以下知识与技能：</w:t>
      </w:r>
    </w:p>
    <w:p w14:paraId="696763C6">
      <w:pPr>
        <w:pStyle w:val="14"/>
        <w:spacing w:line="360" w:lineRule="auto"/>
        <w:ind w:left="110" w:leftChars="50" w:firstLine="360" w:firstLineChars="150"/>
        <w:rPr>
          <w:rFonts w:ascii="Times New Roman" w:hAnsi="Times New Roman" w:cs="Times New Roman"/>
          <w:sz w:val="24"/>
          <w:szCs w:val="24"/>
        </w:rPr>
      </w:pPr>
      <w:r>
        <w:rPr>
          <w:rFonts w:ascii="Times New Roman" w:hAnsi="Times New Roman" w:cs="Times New Roman"/>
          <w:sz w:val="24"/>
          <w:szCs w:val="24"/>
        </w:rPr>
        <w:t>（1）识记包括原子结构、化学键等化学原理，能命名并理解各类化合物结构，以及生物化学反应及其在生命体系中的关键作用。</w:t>
      </w:r>
    </w:p>
    <w:p w14:paraId="3E6BA2FC">
      <w:pPr>
        <w:pStyle w:val="14"/>
        <w:spacing w:line="360" w:lineRule="auto"/>
        <w:ind w:left="440" w:leftChars="200" w:firstLine="0" w:firstLineChars="0"/>
        <w:rPr>
          <w:rFonts w:ascii="Times New Roman" w:hAnsi="Times New Roman" w:cs="Times New Roman"/>
          <w:sz w:val="24"/>
          <w:szCs w:val="24"/>
        </w:rPr>
      </w:pPr>
      <w:r>
        <w:rPr>
          <w:rFonts w:ascii="Times New Roman" w:hAnsi="Times New Roman" w:cs="Times New Roman"/>
          <w:sz w:val="24"/>
          <w:szCs w:val="24"/>
        </w:rPr>
        <w:t>（2）阐述食品理化</w:t>
      </w:r>
      <w:r>
        <w:rPr>
          <w:rFonts w:hint="eastAsia" w:ascii="Times New Roman" w:hAnsi="Times New Roman" w:cs="Times New Roman"/>
          <w:sz w:val="24"/>
          <w:szCs w:val="24"/>
          <w:lang w:val="en-US" w:eastAsia="zh-CN"/>
        </w:rPr>
        <w:t>和</w:t>
      </w:r>
      <w:r>
        <w:rPr>
          <w:rFonts w:ascii="Times New Roman" w:hAnsi="Times New Roman" w:cs="Times New Roman"/>
          <w:sz w:val="24"/>
          <w:szCs w:val="24"/>
        </w:rPr>
        <w:t>微生物检测原理与方法。</w:t>
      </w:r>
    </w:p>
    <w:p w14:paraId="42586148">
      <w:pPr>
        <w:pStyle w:val="14"/>
        <w:spacing w:line="360" w:lineRule="auto"/>
        <w:ind w:left="440" w:leftChars="200" w:firstLine="0" w:firstLineChars="0"/>
        <w:rPr>
          <w:rFonts w:ascii="Times New Roman" w:hAnsi="Times New Roman" w:cs="Times New Roman"/>
          <w:sz w:val="24"/>
          <w:szCs w:val="24"/>
        </w:rPr>
      </w:pPr>
      <w:r>
        <w:rPr>
          <w:rFonts w:ascii="Times New Roman" w:hAnsi="Times New Roman" w:cs="Times New Roman"/>
          <w:sz w:val="24"/>
          <w:szCs w:val="24"/>
        </w:rPr>
        <w:t>（3）了解国内外食品安全法律法规，掌握质量管理原理和方法。</w:t>
      </w:r>
    </w:p>
    <w:p w14:paraId="5398E8C9">
      <w:pPr>
        <w:pStyle w:val="14"/>
        <w:spacing w:line="360" w:lineRule="auto"/>
        <w:ind w:left="110" w:leftChars="50" w:firstLine="360" w:firstLineChars="150"/>
        <w:rPr>
          <w:rFonts w:ascii="Times New Roman" w:hAnsi="Times New Roman" w:cs="Times New Roman"/>
          <w:sz w:val="24"/>
          <w:szCs w:val="24"/>
        </w:rPr>
      </w:pPr>
      <w:r>
        <w:rPr>
          <w:rFonts w:ascii="Times New Roman" w:hAnsi="Times New Roman" w:cs="Times New Roman"/>
          <w:sz w:val="24"/>
          <w:szCs w:val="24"/>
        </w:rPr>
        <w:t>（4）识记食品加工基本理论与工艺流程，掌握原料与加工过程中质量控制技能，实施有效的生产流程管理。</w:t>
      </w:r>
    </w:p>
    <w:p w14:paraId="2C275ADC">
      <w:pPr>
        <w:pStyle w:val="14"/>
        <w:spacing w:line="360" w:lineRule="auto"/>
        <w:ind w:left="480" w:firstLine="0" w:firstLineChars="0"/>
        <w:rPr>
          <w:rFonts w:ascii="Times New Roman" w:hAnsi="Times New Roman" w:cs="Times New Roman"/>
          <w:sz w:val="24"/>
          <w:szCs w:val="24"/>
        </w:rPr>
      </w:pPr>
      <w:r>
        <w:rPr>
          <w:rFonts w:ascii="Times New Roman" w:hAnsi="Times New Roman" w:cs="Times New Roman"/>
          <w:sz w:val="24"/>
          <w:szCs w:val="24"/>
        </w:rPr>
        <w:t>2.试卷要求：考试采用闭卷笔试形式，试卷满分120分，考试时间为120分钟。</w:t>
      </w:r>
    </w:p>
    <w:p w14:paraId="7CD57CB7">
      <w:pPr>
        <w:pStyle w:val="14"/>
        <w:spacing w:line="360" w:lineRule="auto"/>
        <w:ind w:left="480" w:firstLine="0" w:firstLineChars="0"/>
        <w:rPr>
          <w:rFonts w:ascii="Times New Roman" w:hAnsi="Times New Roman" w:cs="Times New Roman"/>
          <w:sz w:val="24"/>
          <w:szCs w:val="24"/>
        </w:rPr>
      </w:pPr>
      <w:r>
        <w:rPr>
          <w:rFonts w:ascii="Times New Roman" w:hAnsi="Times New Roman" w:cs="Times New Roman"/>
          <w:sz w:val="24"/>
          <w:szCs w:val="24"/>
        </w:rPr>
        <w:t>3.试题类型</w:t>
      </w:r>
    </w:p>
    <w:p w14:paraId="251E6DAC">
      <w:pPr>
        <w:pStyle w:val="14"/>
        <w:spacing w:line="360" w:lineRule="auto"/>
        <w:ind w:left="480" w:firstLine="0" w:firstLineChars="0"/>
        <w:rPr>
          <w:rFonts w:ascii="Times New Roman" w:hAnsi="Times New Roman" w:cs="Times New Roman"/>
          <w:sz w:val="24"/>
          <w:szCs w:val="24"/>
        </w:rPr>
      </w:pPr>
      <w:r>
        <w:rPr>
          <w:rFonts w:ascii="Times New Roman" w:hAnsi="Times New Roman" w:cs="Times New Roman"/>
          <w:sz w:val="24"/>
          <w:szCs w:val="24"/>
        </w:rPr>
        <w:t>（1）判断题：占25%-30%</w:t>
      </w:r>
    </w:p>
    <w:p w14:paraId="1B621642">
      <w:pPr>
        <w:pStyle w:val="14"/>
        <w:spacing w:line="360" w:lineRule="auto"/>
        <w:ind w:left="480" w:firstLine="0" w:firstLineChars="0"/>
        <w:rPr>
          <w:rFonts w:ascii="Times New Roman" w:hAnsi="Times New Roman" w:cs="Times New Roman"/>
          <w:sz w:val="24"/>
          <w:szCs w:val="24"/>
        </w:rPr>
      </w:pPr>
      <w:r>
        <w:rPr>
          <w:rFonts w:ascii="Times New Roman" w:hAnsi="Times New Roman" w:cs="Times New Roman"/>
          <w:sz w:val="24"/>
          <w:szCs w:val="24"/>
        </w:rPr>
        <w:t>（2）单项选择题：占45%-50%</w:t>
      </w:r>
    </w:p>
    <w:p w14:paraId="1CFCB35A">
      <w:pPr>
        <w:pStyle w:val="14"/>
        <w:spacing w:line="360" w:lineRule="auto"/>
        <w:ind w:left="480" w:firstLine="0" w:firstLineChars="0"/>
        <w:rPr>
          <w:rFonts w:ascii="Times New Roman" w:hAnsi="Times New Roman" w:cs="Times New Roman"/>
          <w:sz w:val="24"/>
          <w:szCs w:val="24"/>
        </w:rPr>
      </w:pPr>
      <w:r>
        <w:rPr>
          <w:rFonts w:ascii="Times New Roman" w:hAnsi="Times New Roman" w:cs="Times New Roman"/>
          <w:sz w:val="24"/>
          <w:szCs w:val="24"/>
        </w:rPr>
        <w:t>（3）问答题（含计算题）：占20%-25%</w:t>
      </w:r>
    </w:p>
    <w:p w14:paraId="25794137">
      <w:pPr>
        <w:pStyle w:val="14"/>
        <w:spacing w:line="360" w:lineRule="auto"/>
        <w:ind w:left="480" w:firstLine="0" w:firstLineChars="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rPr>
        <w:t xml:space="preserve"> </w:t>
      </w:r>
      <w:r>
        <w:rPr>
          <w:rFonts w:ascii="Times New Roman" w:hAnsi="Times New Roman" w:cs="Times New Roman"/>
          <w:sz w:val="24"/>
          <w:szCs w:val="24"/>
        </w:rPr>
        <w:t>四个知识模块考试内容所占比例（约）见下表：</w:t>
      </w:r>
    </w:p>
    <w:tbl>
      <w:tblPr>
        <w:tblStyle w:val="9"/>
        <w:tblW w:w="5001" w:type="pct"/>
        <w:jc w:val="center"/>
        <w:tblLayout w:type="autofit"/>
        <w:tblCellMar>
          <w:top w:w="0" w:type="dxa"/>
          <w:left w:w="0" w:type="dxa"/>
          <w:bottom w:w="0" w:type="dxa"/>
          <w:right w:w="0" w:type="dxa"/>
        </w:tblCellMar>
      </w:tblPr>
      <w:tblGrid>
        <w:gridCol w:w="1956"/>
        <w:gridCol w:w="1497"/>
        <w:gridCol w:w="1495"/>
        <w:gridCol w:w="1745"/>
        <w:gridCol w:w="1745"/>
      </w:tblGrid>
      <w:tr w14:paraId="54C29405">
        <w:tblPrEx>
          <w:tblCellMar>
            <w:top w:w="0" w:type="dxa"/>
            <w:left w:w="0" w:type="dxa"/>
            <w:bottom w:w="0" w:type="dxa"/>
            <w:right w:w="0" w:type="dxa"/>
          </w:tblCellMar>
        </w:tblPrEx>
        <w:trPr>
          <w:trHeight w:val="494"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tcMar>
              <w:top w:w="63" w:type="dxa"/>
              <w:left w:w="125" w:type="dxa"/>
              <w:bottom w:w="63" w:type="dxa"/>
              <w:right w:w="125" w:type="dxa"/>
            </w:tcMar>
            <w:vAlign w:val="center"/>
          </w:tcPr>
          <w:p w14:paraId="37C79354">
            <w:pPr>
              <w:adjustRightInd/>
              <w:snapToGrid/>
              <w:spacing w:after="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考试内容</w:t>
            </w:r>
          </w:p>
        </w:tc>
        <w:tc>
          <w:tcPr>
            <w:tcW w:w="8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6BC7C4">
            <w:pPr>
              <w:adjustRightInd/>
              <w:snapToGrid/>
              <w:spacing w:after="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基础化学模块</w:t>
            </w:r>
          </w:p>
        </w:tc>
        <w:tc>
          <w:tcPr>
            <w:tcW w:w="8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DBAAA2">
            <w:pPr>
              <w:adjustRightInd/>
              <w:snapToGrid/>
              <w:spacing w:after="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食品检测模块</w:t>
            </w:r>
          </w:p>
        </w:tc>
        <w:tc>
          <w:tcPr>
            <w:tcW w:w="10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2DC938">
            <w:pPr>
              <w:adjustRightInd/>
              <w:snapToGrid/>
              <w:spacing w:after="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食品质量控制模块</w:t>
            </w:r>
          </w:p>
        </w:tc>
        <w:tc>
          <w:tcPr>
            <w:tcW w:w="10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8D1DF2">
            <w:pPr>
              <w:adjustRightInd/>
              <w:snapToGrid/>
              <w:spacing w:after="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食品加工控制</w:t>
            </w:r>
          </w:p>
        </w:tc>
      </w:tr>
      <w:tr w14:paraId="56537A7A">
        <w:tblPrEx>
          <w:tblCellMar>
            <w:top w:w="0" w:type="dxa"/>
            <w:left w:w="0" w:type="dxa"/>
            <w:bottom w:w="0" w:type="dxa"/>
            <w:right w:w="0" w:type="dxa"/>
          </w:tblCellMar>
        </w:tblPrEx>
        <w:trPr>
          <w:trHeight w:val="433"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tcMar>
              <w:top w:w="63" w:type="dxa"/>
              <w:left w:w="125" w:type="dxa"/>
              <w:bottom w:w="63" w:type="dxa"/>
              <w:right w:w="125" w:type="dxa"/>
            </w:tcMar>
            <w:vAlign w:val="center"/>
          </w:tcPr>
          <w:p w14:paraId="47B56C1E">
            <w:pPr>
              <w:adjustRightInd/>
              <w:snapToGrid/>
              <w:spacing w:after="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所占比例（%）</w:t>
            </w:r>
          </w:p>
        </w:tc>
        <w:tc>
          <w:tcPr>
            <w:tcW w:w="8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018EBF">
            <w:pPr>
              <w:adjustRightInd/>
              <w:snapToGrid/>
              <w:spacing w:after="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25</w:t>
            </w:r>
          </w:p>
        </w:tc>
        <w:tc>
          <w:tcPr>
            <w:tcW w:w="8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CDF2AD">
            <w:pPr>
              <w:adjustRightInd/>
              <w:snapToGrid/>
              <w:spacing w:after="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35</w:t>
            </w:r>
          </w:p>
        </w:tc>
        <w:tc>
          <w:tcPr>
            <w:tcW w:w="10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E3C703">
            <w:pPr>
              <w:adjustRightInd/>
              <w:snapToGrid/>
              <w:spacing w:after="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25</w:t>
            </w:r>
          </w:p>
        </w:tc>
        <w:tc>
          <w:tcPr>
            <w:tcW w:w="10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56BB11">
            <w:pPr>
              <w:adjustRightInd/>
              <w:snapToGrid/>
              <w:spacing w:after="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15</w:t>
            </w:r>
          </w:p>
        </w:tc>
      </w:tr>
    </w:tbl>
    <w:p w14:paraId="5B8E8B89">
      <w:pPr>
        <w:adjustRightInd/>
        <w:snapToGrid/>
        <w:spacing w:after="0" w:line="360" w:lineRule="auto"/>
        <w:ind w:firstLine="480" w:firstLineChars="200"/>
        <w:jc w:val="both"/>
        <w:rPr>
          <w:rFonts w:ascii="Times New Roman" w:hAnsi="Times New Roman" w:cs="Times New Roman" w:eastAsiaTheme="minorEastAsia"/>
          <w:sz w:val="24"/>
          <w:szCs w:val="24"/>
        </w:rPr>
      </w:pPr>
    </w:p>
    <w:p w14:paraId="068BF238">
      <w:pPr>
        <w:pStyle w:val="14"/>
        <w:spacing w:line="360" w:lineRule="auto"/>
        <w:ind w:left="482" w:firstLine="0" w:firstLineChars="0"/>
        <w:rPr>
          <w:rFonts w:ascii="Times New Roman" w:hAnsi="Times New Roman" w:cs="Times New Roman"/>
          <w:b/>
          <w:bCs/>
          <w:sz w:val="24"/>
          <w:szCs w:val="24"/>
        </w:rPr>
      </w:pPr>
      <w:r>
        <w:rPr>
          <w:rFonts w:ascii="Times New Roman" w:hAnsi="Times New Roman" w:cs="Times New Roman"/>
          <w:b/>
          <w:bCs/>
          <w:sz w:val="24"/>
          <w:szCs w:val="24"/>
        </w:rPr>
        <w:t xml:space="preserve">三、各模块考试提纲 </w:t>
      </w:r>
    </w:p>
    <w:p w14:paraId="41D813F4">
      <w:pPr>
        <w:pStyle w:val="14"/>
        <w:spacing w:line="360" w:lineRule="auto"/>
        <w:ind w:left="480" w:firstLine="0" w:firstLineChars="0"/>
        <w:rPr>
          <w:rFonts w:ascii="Times New Roman" w:hAnsi="Times New Roman" w:cs="Times New Roman"/>
          <w:b/>
          <w:bCs/>
          <w:sz w:val="24"/>
          <w:szCs w:val="24"/>
        </w:rPr>
      </w:pPr>
      <w:r>
        <w:rPr>
          <w:rFonts w:ascii="Times New Roman" w:hAnsi="Times New Roman" w:cs="Times New Roman"/>
          <w:b/>
          <w:bCs/>
          <w:sz w:val="24"/>
          <w:szCs w:val="24"/>
        </w:rPr>
        <w:t>（一）基础化学模块</w:t>
      </w:r>
    </w:p>
    <w:p w14:paraId="198247AB">
      <w:pPr>
        <w:pStyle w:val="14"/>
        <w:spacing w:line="360" w:lineRule="auto"/>
        <w:ind w:left="480" w:firstLine="0" w:firstLineChars="0"/>
        <w:rPr>
          <w:rFonts w:ascii="Times New Roman" w:hAnsi="Times New Roman" w:cs="Times New Roman"/>
          <w:b/>
          <w:bCs/>
          <w:sz w:val="24"/>
          <w:szCs w:val="24"/>
        </w:rPr>
      </w:pPr>
      <w:r>
        <w:rPr>
          <w:rFonts w:ascii="Times New Roman" w:hAnsi="Times New Roman" w:cs="Times New Roman"/>
          <w:b/>
          <w:bCs/>
          <w:sz w:val="24"/>
          <w:szCs w:val="24"/>
        </w:rPr>
        <w:t>1物质的组成与结构</w:t>
      </w:r>
    </w:p>
    <w:p w14:paraId="36041E4C">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1.1原子结构</w:t>
      </w:r>
    </w:p>
    <w:p w14:paraId="570B25C5">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1.1.1原子的构成</w:t>
      </w:r>
    </w:p>
    <w:p w14:paraId="61B4E070">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1.2化学键</w:t>
      </w:r>
    </w:p>
    <w:p w14:paraId="73131BC6">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1.2.1离子键和共价键</w:t>
      </w:r>
    </w:p>
    <w:p w14:paraId="3F1D7B22">
      <w:pPr>
        <w:pStyle w:val="14"/>
        <w:spacing w:line="360" w:lineRule="auto"/>
        <w:ind w:left="480" w:firstLine="0" w:firstLineChars="0"/>
        <w:rPr>
          <w:rFonts w:ascii="Times New Roman" w:hAnsi="Times New Roman" w:cs="Times New Roman"/>
          <w:b/>
          <w:bCs/>
          <w:sz w:val="24"/>
          <w:szCs w:val="24"/>
        </w:rPr>
      </w:pPr>
      <w:r>
        <w:rPr>
          <w:rFonts w:ascii="Times New Roman" w:hAnsi="Times New Roman" w:cs="Times New Roman"/>
          <w:b/>
          <w:bCs/>
          <w:sz w:val="24"/>
          <w:szCs w:val="24"/>
        </w:rPr>
        <w:t>2 非金属元素及其化合物</w:t>
      </w:r>
    </w:p>
    <w:p w14:paraId="69099919">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2.1卤素</w:t>
      </w:r>
    </w:p>
    <w:p w14:paraId="30433471">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2.1.1氯气的性质</w:t>
      </w:r>
    </w:p>
    <w:p w14:paraId="1D3F9D28">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2.1.2盐酸的性质和用途</w:t>
      </w:r>
    </w:p>
    <w:p w14:paraId="2C7CD3A9">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2.2氧族元素</w:t>
      </w:r>
    </w:p>
    <w:p w14:paraId="4BD0C2DA">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2.2.1硫的性质和用途</w:t>
      </w:r>
    </w:p>
    <w:p w14:paraId="22CFF179">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2.2.2 SO</w:t>
      </w:r>
      <w:r>
        <w:rPr>
          <w:rFonts w:ascii="Times New Roman" w:hAnsi="Times New Roman" w:cs="Times New Roman"/>
          <w:bCs/>
          <w:sz w:val="24"/>
          <w:szCs w:val="24"/>
          <w:vertAlign w:val="subscript"/>
        </w:rPr>
        <w:t>2</w:t>
      </w:r>
      <w:r>
        <w:rPr>
          <w:rFonts w:ascii="Times New Roman" w:hAnsi="Times New Roman" w:cs="Times New Roman"/>
          <w:bCs/>
          <w:sz w:val="24"/>
          <w:szCs w:val="24"/>
        </w:rPr>
        <w:t>,H</w:t>
      </w:r>
      <w:r>
        <w:rPr>
          <w:rFonts w:ascii="Times New Roman" w:hAnsi="Times New Roman" w:cs="Times New Roman"/>
          <w:bCs/>
          <w:sz w:val="24"/>
          <w:szCs w:val="24"/>
          <w:vertAlign w:val="subscript"/>
        </w:rPr>
        <w:t>2</w:t>
      </w:r>
      <w:r>
        <w:rPr>
          <w:rFonts w:ascii="Times New Roman" w:hAnsi="Times New Roman" w:cs="Times New Roman"/>
          <w:bCs/>
          <w:sz w:val="24"/>
          <w:szCs w:val="24"/>
        </w:rPr>
        <w:t>S的性质和用途</w:t>
      </w:r>
    </w:p>
    <w:p w14:paraId="1E6F855A">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2.2.3硫酸的性质和用途</w:t>
      </w:r>
    </w:p>
    <w:p w14:paraId="375B91BB">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2.3氮族和碳族元素</w:t>
      </w:r>
    </w:p>
    <w:p w14:paraId="4EF28A13">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2.3.1氨气、铵盐的性质和用途</w:t>
      </w:r>
    </w:p>
    <w:p w14:paraId="49A7DE42">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2.3.2硝酸的性质和用途</w:t>
      </w:r>
    </w:p>
    <w:p w14:paraId="48065E45">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2.3.3碳酸盐、硅酸盐的性质和用途</w:t>
      </w:r>
    </w:p>
    <w:p w14:paraId="375B642B">
      <w:pPr>
        <w:pStyle w:val="14"/>
        <w:spacing w:line="360" w:lineRule="auto"/>
        <w:ind w:left="480" w:firstLine="0" w:firstLineChars="0"/>
        <w:rPr>
          <w:rFonts w:ascii="Times New Roman" w:hAnsi="Times New Roman" w:cs="Times New Roman"/>
          <w:b/>
          <w:bCs/>
          <w:sz w:val="24"/>
          <w:szCs w:val="24"/>
        </w:rPr>
      </w:pPr>
      <w:r>
        <w:rPr>
          <w:rFonts w:ascii="Times New Roman" w:hAnsi="Times New Roman" w:cs="Times New Roman"/>
          <w:b/>
          <w:bCs/>
          <w:sz w:val="24"/>
          <w:szCs w:val="24"/>
        </w:rPr>
        <w:t>3 金属元素及其化合物</w:t>
      </w:r>
    </w:p>
    <w:p w14:paraId="481E9D10">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3.1碱金属元素</w:t>
      </w:r>
    </w:p>
    <w:p w14:paraId="597C47AD">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3.1.1钠的性质</w:t>
      </w:r>
    </w:p>
    <w:p w14:paraId="0FD6A206">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3.1.2钠的化合物的性质和用途</w:t>
      </w:r>
    </w:p>
    <w:p w14:paraId="3812826B">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3.2碱土金属</w:t>
      </w:r>
    </w:p>
    <w:p w14:paraId="39220C3A">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3.2.1镁及其化合物的性质</w:t>
      </w:r>
    </w:p>
    <w:p w14:paraId="6A3BE03D">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3.2.2钙及其化合物的性质</w:t>
      </w:r>
    </w:p>
    <w:p w14:paraId="161675D4">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3.3铝、铁</w:t>
      </w:r>
    </w:p>
    <w:p w14:paraId="76B30E8B">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3.3.1铝及其化合物的性质和用途</w:t>
      </w:r>
    </w:p>
    <w:p w14:paraId="4E41E41B">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3.3.2铁及其化合物的性质和用途</w:t>
      </w:r>
    </w:p>
    <w:p w14:paraId="50D8B227">
      <w:pPr>
        <w:pStyle w:val="14"/>
        <w:spacing w:line="360" w:lineRule="auto"/>
        <w:ind w:left="480" w:firstLine="0" w:firstLineChars="0"/>
        <w:rPr>
          <w:rFonts w:ascii="Times New Roman" w:hAnsi="Times New Roman" w:cs="Times New Roman"/>
          <w:b/>
          <w:bCs/>
          <w:sz w:val="24"/>
          <w:szCs w:val="24"/>
        </w:rPr>
      </w:pPr>
      <w:r>
        <w:rPr>
          <w:rFonts w:ascii="Times New Roman" w:hAnsi="Times New Roman" w:cs="Times New Roman"/>
          <w:b/>
          <w:bCs/>
          <w:sz w:val="24"/>
          <w:szCs w:val="24"/>
        </w:rPr>
        <w:t>4 化学反应及其规律</w:t>
      </w:r>
    </w:p>
    <w:p w14:paraId="243773E9">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4.1化学反应速率与化学平衡</w:t>
      </w:r>
    </w:p>
    <w:p w14:paraId="7E668124">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4.1.1化学平衡的影响因素</w:t>
      </w:r>
    </w:p>
    <w:p w14:paraId="3D753791">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4.2氧化还原反应</w:t>
      </w:r>
    </w:p>
    <w:p w14:paraId="54E18852">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4.2.1氧化剂和还原剂</w:t>
      </w:r>
    </w:p>
    <w:p w14:paraId="6B37990A">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 xml:space="preserve">4.3配合物 </w:t>
      </w:r>
    </w:p>
    <w:p w14:paraId="4EF6FA03">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4.3.1配合物的结构和应用</w:t>
      </w:r>
    </w:p>
    <w:p w14:paraId="73E215C9">
      <w:pPr>
        <w:pStyle w:val="14"/>
        <w:spacing w:line="360" w:lineRule="auto"/>
        <w:ind w:left="480" w:firstLine="0" w:firstLineChars="0"/>
        <w:rPr>
          <w:rFonts w:ascii="Times New Roman" w:hAnsi="Times New Roman" w:cs="Times New Roman"/>
          <w:b/>
          <w:bCs/>
          <w:sz w:val="24"/>
          <w:szCs w:val="24"/>
        </w:rPr>
      </w:pPr>
      <w:r>
        <w:rPr>
          <w:rFonts w:ascii="Times New Roman" w:hAnsi="Times New Roman" w:cs="Times New Roman"/>
          <w:b/>
          <w:bCs/>
          <w:sz w:val="24"/>
          <w:szCs w:val="24"/>
        </w:rPr>
        <w:t>5 溶液</w:t>
      </w:r>
    </w:p>
    <w:p w14:paraId="436AB1E9">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5.1物质的量</w:t>
      </w:r>
    </w:p>
    <w:p w14:paraId="6F381514">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5.1.1 摩尔质量</w:t>
      </w:r>
    </w:p>
    <w:p w14:paraId="558D8D83">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5.1.2气体摩尔体积</w:t>
      </w:r>
    </w:p>
    <w:p w14:paraId="327AAE23">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5.2溶液的浓度</w:t>
      </w:r>
    </w:p>
    <w:p w14:paraId="27773C7F">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5.2.1物质的量浓度</w:t>
      </w:r>
    </w:p>
    <w:p w14:paraId="2458AE6D">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5.2.2溶液的配制</w:t>
      </w:r>
    </w:p>
    <w:p w14:paraId="792860B7">
      <w:pPr>
        <w:pStyle w:val="14"/>
        <w:spacing w:line="360" w:lineRule="auto"/>
        <w:ind w:left="480" w:firstLine="0" w:firstLineChars="0"/>
        <w:rPr>
          <w:rFonts w:ascii="Times New Roman" w:hAnsi="Times New Roman" w:cs="Times New Roman"/>
          <w:b/>
          <w:bCs/>
          <w:sz w:val="24"/>
          <w:szCs w:val="24"/>
        </w:rPr>
      </w:pPr>
      <w:r>
        <w:rPr>
          <w:rFonts w:ascii="Times New Roman" w:hAnsi="Times New Roman" w:cs="Times New Roman"/>
          <w:b/>
          <w:bCs/>
          <w:sz w:val="24"/>
          <w:szCs w:val="24"/>
        </w:rPr>
        <w:t>6 水溶液中的离子反应</w:t>
      </w:r>
    </w:p>
    <w:p w14:paraId="1D133382">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6.1弱电解质的解离平衡</w:t>
      </w:r>
    </w:p>
    <w:p w14:paraId="04ABD2C7">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6.1.1强电解质和弱电解质</w:t>
      </w:r>
    </w:p>
    <w:p w14:paraId="4EC1D9E2">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6.1.2离子反应和离子方程式</w:t>
      </w:r>
    </w:p>
    <w:p w14:paraId="7DD098C7">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6.2溶液的酸碱性</w:t>
      </w:r>
    </w:p>
    <w:p w14:paraId="4681F6CA">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6.2.1溶液的PH值</w:t>
      </w:r>
    </w:p>
    <w:p w14:paraId="02E57DD3">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6.2.2溶液酸碱性的判断方法</w:t>
      </w:r>
    </w:p>
    <w:p w14:paraId="3918C458">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6.3盐类的水解和缓冲溶液</w:t>
      </w:r>
    </w:p>
    <w:p w14:paraId="063142C2">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6.3.1盐类水解的规律</w:t>
      </w:r>
    </w:p>
    <w:p w14:paraId="2ADACE57">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 xml:space="preserve">6.3.2缓冲溶液的定义和应用 </w:t>
      </w:r>
    </w:p>
    <w:p w14:paraId="272AAC7C">
      <w:pPr>
        <w:pStyle w:val="14"/>
        <w:spacing w:line="360" w:lineRule="auto"/>
        <w:ind w:left="480" w:firstLine="0" w:firstLineChars="0"/>
        <w:rPr>
          <w:rFonts w:ascii="Times New Roman" w:hAnsi="Times New Roman" w:cs="Times New Roman"/>
          <w:b/>
          <w:bCs/>
          <w:sz w:val="24"/>
          <w:szCs w:val="24"/>
        </w:rPr>
      </w:pPr>
      <w:r>
        <w:rPr>
          <w:rFonts w:ascii="Times New Roman" w:hAnsi="Times New Roman" w:cs="Times New Roman"/>
          <w:b/>
          <w:bCs/>
          <w:sz w:val="24"/>
          <w:szCs w:val="24"/>
        </w:rPr>
        <w:t>7 有机物的特点和分类</w:t>
      </w:r>
    </w:p>
    <w:p w14:paraId="2B27D276">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7.1有机化合物概述</w:t>
      </w:r>
    </w:p>
    <w:p w14:paraId="31C1C24C">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7.1.1有机化合物的特点</w:t>
      </w:r>
    </w:p>
    <w:p w14:paraId="7147B7BF">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7.2有机化合物的分类</w:t>
      </w:r>
    </w:p>
    <w:p w14:paraId="676107EE">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7.2.1有机化合物的分类方法</w:t>
      </w:r>
    </w:p>
    <w:p w14:paraId="107A24E2">
      <w:pPr>
        <w:pStyle w:val="14"/>
        <w:spacing w:line="360" w:lineRule="auto"/>
        <w:ind w:left="480" w:firstLine="0" w:firstLineChars="0"/>
        <w:rPr>
          <w:rFonts w:ascii="Times New Roman" w:hAnsi="Times New Roman" w:cs="Times New Roman"/>
          <w:b/>
          <w:bCs/>
          <w:sz w:val="24"/>
          <w:szCs w:val="24"/>
        </w:rPr>
      </w:pPr>
      <w:r>
        <w:rPr>
          <w:rFonts w:ascii="Times New Roman" w:hAnsi="Times New Roman" w:cs="Times New Roman"/>
          <w:b/>
          <w:bCs/>
          <w:sz w:val="24"/>
          <w:szCs w:val="24"/>
        </w:rPr>
        <w:t>8 烃类化合物</w:t>
      </w:r>
    </w:p>
    <w:p w14:paraId="38E5A966">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8.1烷烃</w:t>
      </w:r>
    </w:p>
    <w:p w14:paraId="5DA089D7">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8.1.1甲烷的结构和性质</w:t>
      </w:r>
    </w:p>
    <w:p w14:paraId="72D4EA7F">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8.1.2烷烃的命名</w:t>
      </w:r>
    </w:p>
    <w:p w14:paraId="6D3511D4">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8.2烯烃</w:t>
      </w:r>
    </w:p>
    <w:p w14:paraId="27F9F06C">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8.2.1乙烯的结构和性质</w:t>
      </w:r>
    </w:p>
    <w:p w14:paraId="3A892332">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8.2.2烯烃的命名</w:t>
      </w:r>
    </w:p>
    <w:p w14:paraId="3A180557">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8.3炔烃</w:t>
      </w:r>
    </w:p>
    <w:p w14:paraId="46919BB8">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8.3.1乙炔的结构和性质</w:t>
      </w:r>
    </w:p>
    <w:p w14:paraId="5B0FB5C3">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8.3.2炔烃的命名</w:t>
      </w:r>
    </w:p>
    <w:p w14:paraId="04BCE477">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8.4芳香烃</w:t>
      </w:r>
    </w:p>
    <w:p w14:paraId="5D956EEA">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8.4.1苯的结构和性质</w:t>
      </w:r>
    </w:p>
    <w:p w14:paraId="48CCDE00">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8.4.2芳香烃的应用</w:t>
      </w:r>
    </w:p>
    <w:p w14:paraId="766D7B6A">
      <w:pPr>
        <w:pStyle w:val="14"/>
        <w:spacing w:line="360" w:lineRule="auto"/>
        <w:ind w:left="480" w:firstLine="0" w:firstLineChars="0"/>
        <w:rPr>
          <w:rFonts w:ascii="Times New Roman" w:hAnsi="Times New Roman" w:cs="Times New Roman"/>
          <w:b/>
          <w:bCs/>
          <w:sz w:val="24"/>
          <w:szCs w:val="24"/>
        </w:rPr>
      </w:pPr>
      <w:r>
        <w:rPr>
          <w:rFonts w:ascii="Times New Roman" w:hAnsi="Times New Roman" w:cs="Times New Roman"/>
          <w:b/>
          <w:bCs/>
          <w:sz w:val="24"/>
          <w:szCs w:val="24"/>
        </w:rPr>
        <w:t>9 烃的衍生物</w:t>
      </w:r>
    </w:p>
    <w:p w14:paraId="61249468">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9.1卤代烃</w:t>
      </w:r>
    </w:p>
    <w:p w14:paraId="535E4035">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9.1.1溴乙烷的结构和性质</w:t>
      </w:r>
    </w:p>
    <w:p w14:paraId="61D216B4">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9.2醇酚醚</w:t>
      </w:r>
    </w:p>
    <w:p w14:paraId="53BDF558">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9.2.1乙醇的结构和性质</w:t>
      </w:r>
    </w:p>
    <w:p w14:paraId="397A17C5">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9.2.2苯酚的结构和性质</w:t>
      </w:r>
    </w:p>
    <w:p w14:paraId="1BEEC280">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9.2.3乙醚的结构和性质</w:t>
      </w:r>
    </w:p>
    <w:p w14:paraId="31A86B7D">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9.3醛和酮</w:t>
      </w:r>
    </w:p>
    <w:p w14:paraId="25305CB9">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9.3.1乙醛的结构和性质</w:t>
      </w:r>
    </w:p>
    <w:p w14:paraId="4B61F588">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9.3.2丙酮的结构和应用</w:t>
      </w:r>
    </w:p>
    <w:p w14:paraId="08153176">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9.4羧酸</w:t>
      </w:r>
    </w:p>
    <w:p w14:paraId="3017212F">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9.4.1乙酸的结构和性质</w:t>
      </w:r>
    </w:p>
    <w:p w14:paraId="0260CD16">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9.4.2羧酸的用途</w:t>
      </w:r>
    </w:p>
    <w:p w14:paraId="56A883A2">
      <w:pPr>
        <w:pStyle w:val="14"/>
        <w:spacing w:line="360" w:lineRule="auto"/>
        <w:ind w:left="480" w:firstLine="0" w:firstLineChars="0"/>
        <w:rPr>
          <w:rFonts w:ascii="Times New Roman" w:hAnsi="Times New Roman" w:cs="Times New Roman"/>
          <w:b/>
          <w:sz w:val="24"/>
          <w:szCs w:val="24"/>
        </w:rPr>
      </w:pPr>
      <w:r>
        <w:rPr>
          <w:rFonts w:ascii="Times New Roman" w:hAnsi="Times New Roman" w:cs="Times New Roman"/>
          <w:b/>
          <w:sz w:val="24"/>
          <w:szCs w:val="24"/>
        </w:rPr>
        <w:t>10 水和矿物质</w:t>
      </w:r>
    </w:p>
    <w:p w14:paraId="19CEB200">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10.1食品中的水分</w:t>
      </w:r>
    </w:p>
    <w:p w14:paraId="298F73CE">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10.1.1水的分类及性质</w:t>
      </w:r>
    </w:p>
    <w:p w14:paraId="7F5A7C73">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10.1.2水在人体内的功能</w:t>
      </w:r>
    </w:p>
    <w:p w14:paraId="4D654714">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10.1.3水分活度对食品的影响</w:t>
      </w:r>
    </w:p>
    <w:p w14:paraId="4164BB7C">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10.2食品中的矿物质</w:t>
      </w:r>
    </w:p>
    <w:p w14:paraId="50794921">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10.2.1 矿物质的分类与功能</w:t>
      </w:r>
    </w:p>
    <w:p w14:paraId="57F762F5">
      <w:pPr>
        <w:pStyle w:val="14"/>
        <w:spacing w:line="360" w:lineRule="auto"/>
        <w:ind w:left="480" w:firstLine="0" w:firstLineChars="0"/>
        <w:rPr>
          <w:rFonts w:ascii="Times New Roman" w:hAnsi="Times New Roman" w:cs="Times New Roman"/>
          <w:b/>
          <w:sz w:val="24"/>
          <w:szCs w:val="24"/>
        </w:rPr>
      </w:pPr>
      <w:r>
        <w:rPr>
          <w:rFonts w:ascii="Times New Roman" w:hAnsi="Times New Roman" w:cs="Times New Roman"/>
          <w:b/>
          <w:sz w:val="24"/>
          <w:szCs w:val="24"/>
        </w:rPr>
        <w:t>11糖类</w:t>
      </w:r>
    </w:p>
    <w:p w14:paraId="489C4764">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11.1糖的分类及性质</w:t>
      </w:r>
    </w:p>
    <w:p w14:paraId="2E6BA0DE">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11.1.1重要单糖、寡糖、多糖的分类及功能</w:t>
      </w:r>
    </w:p>
    <w:p w14:paraId="720740CF">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11.2糖的应用</w:t>
      </w:r>
    </w:p>
    <w:p w14:paraId="1B4E2F13">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11.2.1 糖在食品中的应用</w:t>
      </w:r>
    </w:p>
    <w:p w14:paraId="2170B8B5">
      <w:pPr>
        <w:pStyle w:val="14"/>
        <w:spacing w:line="360" w:lineRule="auto"/>
        <w:ind w:left="480" w:firstLine="0" w:firstLineChars="0"/>
        <w:rPr>
          <w:rFonts w:ascii="Times New Roman" w:hAnsi="Times New Roman" w:cs="Times New Roman"/>
          <w:b/>
          <w:sz w:val="24"/>
          <w:szCs w:val="24"/>
        </w:rPr>
      </w:pPr>
      <w:r>
        <w:rPr>
          <w:rFonts w:ascii="Times New Roman" w:hAnsi="Times New Roman" w:cs="Times New Roman"/>
          <w:b/>
          <w:sz w:val="24"/>
          <w:szCs w:val="24"/>
        </w:rPr>
        <w:t>12 蛋白质</w:t>
      </w:r>
    </w:p>
    <w:p w14:paraId="7C6AB232">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12.1蛋白质的组成及性质</w:t>
      </w:r>
    </w:p>
    <w:p w14:paraId="24431C15">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12.1.1 氨基酸的分类及性质</w:t>
      </w:r>
    </w:p>
    <w:p w14:paraId="3D99051B">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12.1.2 蛋白质的分类及性质</w:t>
      </w:r>
    </w:p>
    <w:p w14:paraId="3265AE7B">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12.2蛋白质的功能及应用</w:t>
      </w:r>
    </w:p>
    <w:p w14:paraId="01E37E14">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12.2.1 蛋白质的功能</w:t>
      </w:r>
    </w:p>
    <w:p w14:paraId="0F686D21">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12.2.2 蛋白质在食品加工中的应用</w:t>
      </w:r>
    </w:p>
    <w:p w14:paraId="342F56BF">
      <w:pPr>
        <w:pStyle w:val="14"/>
        <w:spacing w:line="360" w:lineRule="auto"/>
        <w:ind w:left="480" w:firstLine="0" w:firstLineChars="0"/>
        <w:rPr>
          <w:rFonts w:ascii="Times New Roman" w:hAnsi="Times New Roman" w:cs="Times New Roman"/>
          <w:b/>
          <w:sz w:val="24"/>
          <w:szCs w:val="24"/>
        </w:rPr>
      </w:pPr>
      <w:r>
        <w:rPr>
          <w:rFonts w:ascii="Times New Roman" w:hAnsi="Times New Roman" w:cs="Times New Roman"/>
          <w:b/>
          <w:sz w:val="24"/>
          <w:szCs w:val="24"/>
        </w:rPr>
        <w:t>13 脂类</w:t>
      </w:r>
    </w:p>
    <w:p w14:paraId="171F9A02">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13.1脂类的分类与存在</w:t>
      </w:r>
    </w:p>
    <w:p w14:paraId="3263F02E">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13.1.1脂类的分类</w:t>
      </w:r>
    </w:p>
    <w:p w14:paraId="3F01EA0E">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13.1.2 脂类在食品原料中的存在</w:t>
      </w:r>
    </w:p>
    <w:p w14:paraId="477CF0A7">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13.2食用油脂的性质及其应用</w:t>
      </w:r>
    </w:p>
    <w:p w14:paraId="1F292125">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13.2.1 食用油脂在食品加工中的作用</w:t>
      </w:r>
    </w:p>
    <w:p w14:paraId="07E94031">
      <w:pPr>
        <w:pStyle w:val="14"/>
        <w:spacing w:line="360" w:lineRule="auto"/>
        <w:ind w:left="480" w:firstLine="0" w:firstLineChars="0"/>
        <w:rPr>
          <w:rFonts w:ascii="Times New Roman" w:hAnsi="Times New Roman" w:cs="Times New Roman"/>
          <w:b/>
          <w:sz w:val="24"/>
          <w:szCs w:val="24"/>
        </w:rPr>
      </w:pPr>
      <w:r>
        <w:rPr>
          <w:rFonts w:ascii="Times New Roman" w:hAnsi="Times New Roman" w:cs="Times New Roman"/>
          <w:b/>
          <w:sz w:val="24"/>
          <w:szCs w:val="24"/>
        </w:rPr>
        <w:t>14 维生素</w:t>
      </w:r>
    </w:p>
    <w:p w14:paraId="1A5050AD">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14.1维生素概述</w:t>
      </w:r>
    </w:p>
    <w:p w14:paraId="1633AB28">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14.1.1 水溶性维生素</w:t>
      </w:r>
    </w:p>
    <w:p w14:paraId="5739DABF">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14.1.2 脂溶性维生素</w:t>
      </w:r>
    </w:p>
    <w:p w14:paraId="6189BA96">
      <w:pPr>
        <w:pStyle w:val="14"/>
        <w:spacing w:line="360" w:lineRule="auto"/>
        <w:ind w:left="480" w:firstLine="0" w:firstLineChars="0"/>
        <w:rPr>
          <w:rFonts w:ascii="Times New Roman" w:hAnsi="Times New Roman" w:cs="Times New Roman"/>
          <w:b/>
          <w:sz w:val="24"/>
          <w:szCs w:val="24"/>
        </w:rPr>
      </w:pPr>
      <w:r>
        <w:rPr>
          <w:rFonts w:ascii="Times New Roman" w:hAnsi="Times New Roman" w:cs="Times New Roman"/>
          <w:b/>
          <w:sz w:val="24"/>
          <w:szCs w:val="24"/>
        </w:rPr>
        <w:t>15 酶</w:t>
      </w:r>
    </w:p>
    <w:p w14:paraId="7BC7E73A">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15.1酶的基本特征</w:t>
      </w:r>
    </w:p>
    <w:p w14:paraId="3EFE9B00">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15.1.1酶的分类与功能</w:t>
      </w:r>
    </w:p>
    <w:p w14:paraId="488D1D73">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15.1.2影响酶活性的因素</w:t>
      </w:r>
    </w:p>
    <w:p w14:paraId="68AFA56F">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15.1.3食品中常见酶的应用</w:t>
      </w:r>
    </w:p>
    <w:p w14:paraId="356A794D">
      <w:pPr>
        <w:pStyle w:val="14"/>
        <w:spacing w:line="360" w:lineRule="auto"/>
        <w:ind w:left="480" w:firstLine="0" w:firstLineChars="0"/>
        <w:rPr>
          <w:rFonts w:ascii="Times New Roman" w:hAnsi="Times New Roman" w:cs="Times New Roman"/>
          <w:b/>
          <w:sz w:val="24"/>
          <w:szCs w:val="24"/>
        </w:rPr>
      </w:pPr>
      <w:r>
        <w:rPr>
          <w:rFonts w:ascii="Times New Roman" w:hAnsi="Times New Roman" w:cs="Times New Roman"/>
          <w:b/>
          <w:sz w:val="24"/>
          <w:szCs w:val="24"/>
        </w:rPr>
        <w:t>16 物质代谢</w:t>
      </w:r>
    </w:p>
    <w:p w14:paraId="50BC60FA">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16.1生物氧化</w:t>
      </w:r>
    </w:p>
    <w:p w14:paraId="65E14723">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16.1.1生物氧化的概念与特点</w:t>
      </w:r>
    </w:p>
    <w:p w14:paraId="0E72EE46">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16.1.2生物氧化的方式</w:t>
      </w:r>
    </w:p>
    <w:p w14:paraId="6A2B9DC3">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16.1.3营养物质代谢</w:t>
      </w:r>
    </w:p>
    <w:p w14:paraId="265033BC">
      <w:pPr>
        <w:pStyle w:val="14"/>
        <w:spacing w:line="360" w:lineRule="auto"/>
        <w:ind w:left="480" w:firstLine="0" w:firstLineChars="0"/>
        <w:rPr>
          <w:rFonts w:ascii="Times New Roman" w:hAnsi="Times New Roman" w:cs="Times New Roman"/>
          <w:b/>
          <w:sz w:val="24"/>
          <w:szCs w:val="24"/>
        </w:rPr>
      </w:pPr>
      <w:r>
        <w:rPr>
          <w:rFonts w:ascii="Times New Roman" w:hAnsi="Times New Roman" w:cs="Times New Roman"/>
          <w:b/>
          <w:sz w:val="24"/>
          <w:szCs w:val="24"/>
        </w:rPr>
        <w:t>17 食品添加剂</w:t>
      </w:r>
    </w:p>
    <w:p w14:paraId="6DDD6A5E">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17.1食品添加剂分类</w:t>
      </w:r>
    </w:p>
    <w:p w14:paraId="62468564">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17.1.1 常见食品添加剂的种类</w:t>
      </w:r>
    </w:p>
    <w:p w14:paraId="4678473D">
      <w:pPr>
        <w:pStyle w:val="14"/>
        <w:spacing w:line="360" w:lineRule="auto"/>
        <w:ind w:left="480" w:firstLine="0" w:firstLineChars="0"/>
        <w:rPr>
          <w:rFonts w:ascii="Times New Roman" w:hAnsi="Times New Roman" w:cs="Times New Roman"/>
          <w:bCs/>
          <w:sz w:val="24"/>
          <w:szCs w:val="24"/>
        </w:rPr>
      </w:pPr>
      <w:r>
        <w:rPr>
          <w:rFonts w:ascii="Times New Roman" w:hAnsi="Times New Roman" w:cs="Times New Roman"/>
          <w:bCs/>
          <w:sz w:val="24"/>
          <w:szCs w:val="24"/>
        </w:rPr>
        <w:t>17.1.2 食品添加剂在食品中的应用</w:t>
      </w:r>
    </w:p>
    <w:p w14:paraId="0F51B6F2">
      <w:pPr>
        <w:pStyle w:val="14"/>
        <w:spacing w:line="360" w:lineRule="auto"/>
        <w:ind w:left="482" w:firstLine="0" w:firstLineChars="0"/>
        <w:rPr>
          <w:rFonts w:ascii="Times New Roman" w:hAnsi="Times New Roman" w:cs="Times New Roman"/>
          <w:b/>
          <w:bCs/>
          <w:sz w:val="24"/>
          <w:szCs w:val="24"/>
        </w:rPr>
      </w:pPr>
      <w:r>
        <w:rPr>
          <w:rFonts w:ascii="Times New Roman" w:hAnsi="Times New Roman" w:cs="Times New Roman"/>
          <w:b/>
          <w:bCs/>
          <w:sz w:val="24"/>
          <w:szCs w:val="24"/>
        </w:rPr>
        <w:t>（二）食品检测模块</w:t>
      </w:r>
    </w:p>
    <w:p w14:paraId="4CE415D7">
      <w:pPr>
        <w:widowControl w:val="0"/>
        <w:adjustRightInd/>
        <w:snapToGrid/>
        <w:spacing w:after="0" w:line="360" w:lineRule="auto"/>
        <w:ind w:left="480"/>
        <w:jc w:val="both"/>
        <w:rPr>
          <w:rFonts w:ascii="Times New Roman" w:hAnsi="Times New Roman" w:cs="Times New Roman" w:eastAsiaTheme="minorEastAsia"/>
          <w:b/>
          <w:bCs/>
          <w:kern w:val="2"/>
          <w:sz w:val="24"/>
          <w:szCs w:val="24"/>
        </w:rPr>
      </w:pPr>
      <w:r>
        <w:rPr>
          <w:rFonts w:ascii="Times New Roman" w:hAnsi="Times New Roman" w:cs="Times New Roman" w:eastAsiaTheme="minorEastAsia"/>
          <w:b/>
          <w:bCs/>
          <w:kern w:val="2"/>
          <w:sz w:val="24"/>
          <w:szCs w:val="24"/>
        </w:rPr>
        <w:t>1分析化学基本知识</w:t>
      </w:r>
    </w:p>
    <w:p w14:paraId="6526AE39">
      <w:pPr>
        <w:widowControl w:val="0"/>
        <w:adjustRightInd/>
        <w:snapToGrid/>
        <w:spacing w:after="0" w:line="360" w:lineRule="auto"/>
        <w:ind w:left="48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1.1分析化学实验数据的处理</w:t>
      </w:r>
    </w:p>
    <w:p w14:paraId="17F6A7BC">
      <w:pPr>
        <w:widowControl w:val="0"/>
        <w:adjustRightInd/>
        <w:snapToGrid/>
        <w:spacing w:after="0" w:line="360" w:lineRule="auto"/>
        <w:ind w:left="48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1.1.1分析方法的分类和定量分析的一般步骤</w:t>
      </w:r>
    </w:p>
    <w:p w14:paraId="6C8DA7C4">
      <w:pPr>
        <w:widowControl w:val="0"/>
        <w:adjustRightInd/>
        <w:snapToGrid/>
        <w:spacing w:after="0" w:line="360" w:lineRule="auto"/>
        <w:ind w:left="48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1.1.2误差的类型</w:t>
      </w:r>
    </w:p>
    <w:p w14:paraId="116A0D8E">
      <w:pPr>
        <w:widowControl w:val="0"/>
        <w:adjustRightInd/>
        <w:snapToGrid/>
        <w:spacing w:after="0" w:line="360" w:lineRule="auto"/>
        <w:ind w:left="48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1.1.3准确度和精密度</w:t>
      </w:r>
    </w:p>
    <w:p w14:paraId="2C96C419">
      <w:pPr>
        <w:widowControl w:val="0"/>
        <w:adjustRightInd/>
        <w:snapToGrid/>
        <w:spacing w:after="0" w:line="360" w:lineRule="auto"/>
        <w:ind w:left="48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1.1.4有效数字及其应用</w:t>
      </w:r>
    </w:p>
    <w:p w14:paraId="2EEDBFCF">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1.2滴定分析法</w:t>
      </w:r>
    </w:p>
    <w:p w14:paraId="71E44209">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1.2.1滴定分析相关概念</w:t>
      </w:r>
    </w:p>
    <w:p w14:paraId="5CC64B4E">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1.2.2标准溶液的配制方法</w:t>
      </w:r>
    </w:p>
    <w:p w14:paraId="3E43C8E0">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1.2.3滴定分析法的计算</w:t>
      </w:r>
    </w:p>
    <w:p w14:paraId="497E1589">
      <w:pPr>
        <w:widowControl w:val="0"/>
        <w:adjustRightInd/>
        <w:snapToGrid/>
        <w:spacing w:after="0" w:line="360" w:lineRule="auto"/>
        <w:ind w:firstLine="482" w:firstLineChars="200"/>
        <w:jc w:val="both"/>
        <w:rPr>
          <w:rFonts w:ascii="Times New Roman" w:hAnsi="Times New Roman" w:cs="Times New Roman" w:eastAsiaTheme="minorEastAsia"/>
          <w:b/>
          <w:bCs/>
          <w:kern w:val="2"/>
          <w:sz w:val="24"/>
          <w:szCs w:val="24"/>
        </w:rPr>
      </w:pPr>
      <w:r>
        <w:rPr>
          <w:rFonts w:ascii="Times New Roman" w:hAnsi="Times New Roman" w:cs="Times New Roman" w:eastAsiaTheme="minorEastAsia"/>
          <w:b/>
          <w:bCs/>
          <w:kern w:val="2"/>
          <w:sz w:val="24"/>
          <w:szCs w:val="24"/>
        </w:rPr>
        <w:t>2化学分析中的反应及平衡处理方法</w:t>
      </w:r>
    </w:p>
    <w:p w14:paraId="050D12A6">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2.1酸碱反应平衡处理</w:t>
      </w:r>
    </w:p>
    <w:p w14:paraId="619110AB">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2.1.1酸碱质子理论</w:t>
      </w:r>
    </w:p>
    <w:p w14:paraId="153949F7">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2.1.2酸碱溶液及缓冲溶液pH值的计算</w:t>
      </w:r>
    </w:p>
    <w:p w14:paraId="51D7340A">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2.1.3酸碱滴定曲线和指示剂的选择</w:t>
      </w:r>
    </w:p>
    <w:p w14:paraId="47F43D06">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2.2配位反应平衡处理</w:t>
      </w:r>
    </w:p>
    <w:p w14:paraId="7FD5DD67">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2.2.1配位平衡基本内容</w:t>
      </w:r>
    </w:p>
    <w:p w14:paraId="4A9BAA89">
      <w:pPr>
        <w:widowControl w:val="0"/>
        <w:adjustRightInd/>
        <w:snapToGrid/>
        <w:spacing w:after="0" w:line="360" w:lineRule="auto"/>
        <w:ind w:firstLine="482" w:firstLineChars="200"/>
        <w:jc w:val="both"/>
        <w:rPr>
          <w:rFonts w:ascii="Times New Roman" w:hAnsi="Times New Roman" w:cs="Times New Roman" w:eastAsiaTheme="minorEastAsia"/>
          <w:b/>
          <w:bCs/>
          <w:kern w:val="2"/>
          <w:sz w:val="24"/>
          <w:szCs w:val="24"/>
        </w:rPr>
      </w:pPr>
      <w:r>
        <w:rPr>
          <w:rFonts w:ascii="Times New Roman" w:hAnsi="Times New Roman" w:cs="Times New Roman" w:eastAsiaTheme="minorEastAsia"/>
          <w:b/>
          <w:bCs/>
          <w:kern w:val="2"/>
          <w:sz w:val="24"/>
          <w:szCs w:val="24"/>
        </w:rPr>
        <w:t>3分析化学基本操作</w:t>
      </w:r>
    </w:p>
    <w:p w14:paraId="50EA15D2">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3.1常用玻璃仪器的识别与洗涤</w:t>
      </w:r>
    </w:p>
    <w:p w14:paraId="3F540124">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3.1.1常用玻璃仪器的类别与洗涤方法</w:t>
      </w:r>
    </w:p>
    <w:p w14:paraId="14BC927B">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3.2电子天平的使用</w:t>
      </w:r>
    </w:p>
    <w:p w14:paraId="214C2857">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3.2.1电子天平的构造与使用方法</w:t>
      </w:r>
    </w:p>
    <w:p w14:paraId="01B4592B">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3.3容量瓶的使用</w:t>
      </w:r>
    </w:p>
    <w:p w14:paraId="7ECD65A3">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3.3.1容量瓶的使用方法</w:t>
      </w:r>
    </w:p>
    <w:p w14:paraId="28C12610">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3.4移液管的使用</w:t>
      </w:r>
    </w:p>
    <w:p w14:paraId="14DE0A5C">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3.4.1移液管的类别与使用方法</w:t>
      </w:r>
    </w:p>
    <w:p w14:paraId="25401708">
      <w:pPr>
        <w:widowControl w:val="0"/>
        <w:adjustRightInd/>
        <w:snapToGrid/>
        <w:spacing w:after="0" w:line="360" w:lineRule="auto"/>
        <w:ind w:firstLine="482" w:firstLineChars="200"/>
        <w:jc w:val="both"/>
        <w:rPr>
          <w:rFonts w:ascii="Times New Roman" w:hAnsi="Times New Roman" w:cs="Times New Roman" w:eastAsiaTheme="minorEastAsia"/>
          <w:b/>
          <w:bCs/>
          <w:kern w:val="2"/>
          <w:sz w:val="24"/>
          <w:szCs w:val="24"/>
        </w:rPr>
      </w:pPr>
      <w:r>
        <w:rPr>
          <w:rFonts w:ascii="Times New Roman" w:hAnsi="Times New Roman" w:cs="Times New Roman" w:eastAsiaTheme="minorEastAsia"/>
          <w:b/>
          <w:bCs/>
          <w:kern w:val="2"/>
          <w:sz w:val="24"/>
          <w:szCs w:val="24"/>
        </w:rPr>
        <w:t>4滴定分析基本操作</w:t>
      </w:r>
    </w:p>
    <w:p w14:paraId="26C05CCF">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4.1滴定管的使用方法</w:t>
      </w:r>
    </w:p>
    <w:p w14:paraId="3CB52EF1">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4.1.1酸式及碱式滴定管的使用方法</w:t>
      </w:r>
    </w:p>
    <w:p w14:paraId="0DD6A0CE">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4.1.2酸碱滴定终点的判定</w:t>
      </w:r>
    </w:p>
    <w:p w14:paraId="7DE3BCB9">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4.2常用酸碱标准溶液的配制和标定</w:t>
      </w:r>
    </w:p>
    <w:p w14:paraId="24CC06C3">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4.2.1氢氧化钠标准溶液的配制与标定</w:t>
      </w:r>
    </w:p>
    <w:p w14:paraId="422C1C90">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4.2.2盐酸标准溶液的配制与标定</w:t>
      </w:r>
    </w:p>
    <w:p w14:paraId="3150A338">
      <w:pPr>
        <w:widowControl w:val="0"/>
        <w:adjustRightInd/>
        <w:snapToGrid/>
        <w:spacing w:after="0" w:line="360" w:lineRule="auto"/>
        <w:ind w:firstLine="482" w:firstLineChars="200"/>
        <w:jc w:val="both"/>
        <w:rPr>
          <w:rFonts w:ascii="Times New Roman" w:hAnsi="Times New Roman" w:cs="Times New Roman" w:eastAsiaTheme="minorEastAsia"/>
          <w:b/>
          <w:bCs/>
          <w:kern w:val="2"/>
          <w:sz w:val="24"/>
          <w:szCs w:val="24"/>
        </w:rPr>
      </w:pPr>
      <w:r>
        <w:rPr>
          <w:rFonts w:ascii="Times New Roman" w:hAnsi="Times New Roman" w:cs="Times New Roman" w:eastAsiaTheme="minorEastAsia"/>
          <w:b/>
          <w:bCs/>
          <w:kern w:val="2"/>
          <w:sz w:val="24"/>
          <w:szCs w:val="24"/>
        </w:rPr>
        <w:t>5滴定分析法相关实验</w:t>
      </w:r>
    </w:p>
    <w:p w14:paraId="7D926C30">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5.1酸碱滴定法</w:t>
      </w:r>
    </w:p>
    <w:p w14:paraId="754D6D43">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5.1.1食醋中醋酸含量的测定</w:t>
      </w:r>
    </w:p>
    <w:p w14:paraId="36659F0C">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5.2.2</w:t>
      </w:r>
      <w:r>
        <w:rPr>
          <w:rFonts w:ascii="Times New Roman" w:hAnsi="Times New Roman" w:eastAsia="宋体" w:cs="Times New Roman"/>
          <w:sz w:val="24"/>
        </w:rPr>
        <w:t>混合碱各组分含量</w:t>
      </w:r>
      <w:r>
        <w:rPr>
          <w:rFonts w:ascii="Times New Roman" w:hAnsi="Times New Roman" w:cs="Times New Roman" w:eastAsiaTheme="minorEastAsia"/>
          <w:bCs/>
          <w:kern w:val="2"/>
          <w:sz w:val="24"/>
          <w:szCs w:val="24"/>
        </w:rPr>
        <w:t>的测定</w:t>
      </w:r>
    </w:p>
    <w:p w14:paraId="73936500">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5.2沉淀滴定法</w:t>
      </w:r>
    </w:p>
    <w:p w14:paraId="7896A270">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5.2.1莫尔法</w:t>
      </w:r>
    </w:p>
    <w:p w14:paraId="45E2A331">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5.2.2硝酸银标准溶液的配制与标定</w:t>
      </w:r>
    </w:p>
    <w:p w14:paraId="229B560F">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5.3氧化还原滴定法</w:t>
      </w:r>
    </w:p>
    <w:p w14:paraId="3C414D53">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5.3.1高锰酸钾法</w:t>
      </w:r>
    </w:p>
    <w:p w14:paraId="304034C2">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5.3.2高锰酸钾标准溶液的配制和标定</w:t>
      </w:r>
    </w:p>
    <w:p w14:paraId="2A34B485">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5.3.3碘量法</w:t>
      </w:r>
    </w:p>
    <w:p w14:paraId="42FE1514">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5.3.4碘标准溶液的配制与标定</w:t>
      </w:r>
    </w:p>
    <w:p w14:paraId="287B740A">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5.4配位滴定法</w:t>
      </w:r>
    </w:p>
    <w:p w14:paraId="231F59F5">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5.4.1金属指示剂</w:t>
      </w:r>
    </w:p>
    <w:p w14:paraId="04CAD9EF">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5.4.2EDTA标准溶液的配制和标定</w:t>
      </w:r>
    </w:p>
    <w:p w14:paraId="751755B3">
      <w:pPr>
        <w:widowControl w:val="0"/>
        <w:adjustRightInd/>
        <w:snapToGrid/>
        <w:spacing w:after="0" w:line="360" w:lineRule="auto"/>
        <w:ind w:firstLine="482" w:firstLineChars="200"/>
        <w:jc w:val="both"/>
        <w:rPr>
          <w:rFonts w:ascii="Times New Roman" w:hAnsi="Times New Roman" w:cs="Times New Roman" w:eastAsiaTheme="minorEastAsia"/>
          <w:b/>
          <w:bCs/>
          <w:kern w:val="2"/>
          <w:sz w:val="24"/>
          <w:szCs w:val="24"/>
        </w:rPr>
      </w:pPr>
      <w:r>
        <w:rPr>
          <w:rFonts w:ascii="Times New Roman" w:hAnsi="Times New Roman" w:cs="Times New Roman" w:eastAsiaTheme="minorEastAsia"/>
          <w:b/>
          <w:bCs/>
          <w:kern w:val="2"/>
          <w:sz w:val="24"/>
          <w:szCs w:val="24"/>
        </w:rPr>
        <w:t>6 电化学分析法相关实验</w:t>
      </w:r>
    </w:p>
    <w:p w14:paraId="1B3FB6DB">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6.1pH计的使用</w:t>
      </w:r>
    </w:p>
    <w:p w14:paraId="7656A8BA">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6.1.1pH计的组成与使用方法</w:t>
      </w:r>
    </w:p>
    <w:p w14:paraId="7593D81C">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6.2分光光度计的使用</w:t>
      </w:r>
    </w:p>
    <w:p w14:paraId="43D6A3C8">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6.2.1分光光度法及分光光度计的使用方法</w:t>
      </w:r>
    </w:p>
    <w:p w14:paraId="774372B7">
      <w:pPr>
        <w:widowControl w:val="0"/>
        <w:adjustRightInd/>
        <w:snapToGrid/>
        <w:spacing w:after="0" w:line="360" w:lineRule="auto"/>
        <w:ind w:firstLine="482" w:firstLineChars="200"/>
        <w:jc w:val="both"/>
        <w:rPr>
          <w:rFonts w:ascii="Times New Roman" w:hAnsi="Times New Roman" w:cs="Times New Roman" w:eastAsiaTheme="minorEastAsia"/>
          <w:b/>
          <w:bCs/>
          <w:kern w:val="2"/>
          <w:sz w:val="24"/>
          <w:szCs w:val="24"/>
        </w:rPr>
      </w:pPr>
      <w:r>
        <w:rPr>
          <w:rFonts w:hint="eastAsia" w:ascii="Times New Roman" w:hAnsi="Times New Roman" w:cs="Times New Roman" w:eastAsiaTheme="minorEastAsia"/>
          <w:b/>
          <w:bCs/>
          <w:kern w:val="2"/>
          <w:sz w:val="24"/>
          <w:szCs w:val="24"/>
          <w:lang w:val="en-US" w:eastAsia="zh-CN"/>
        </w:rPr>
        <w:t>7</w:t>
      </w:r>
      <w:r>
        <w:rPr>
          <w:rFonts w:ascii="Times New Roman" w:hAnsi="Times New Roman" w:cs="Times New Roman" w:eastAsiaTheme="minorEastAsia"/>
          <w:b/>
          <w:bCs/>
          <w:kern w:val="2"/>
          <w:sz w:val="24"/>
          <w:szCs w:val="24"/>
        </w:rPr>
        <w:t xml:space="preserve"> 食品标签检查</w:t>
      </w:r>
    </w:p>
    <w:p w14:paraId="7194DFF9">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7</w:t>
      </w:r>
      <w:r>
        <w:rPr>
          <w:rFonts w:ascii="Times New Roman" w:hAnsi="Times New Roman" w:cs="Times New Roman" w:eastAsiaTheme="minorEastAsia"/>
          <w:bCs/>
          <w:kern w:val="2"/>
          <w:sz w:val="24"/>
          <w:szCs w:val="24"/>
        </w:rPr>
        <w:t>.1 术语与定义</w:t>
      </w:r>
    </w:p>
    <w:p w14:paraId="77613948">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7</w:t>
      </w:r>
      <w:r>
        <w:rPr>
          <w:rFonts w:ascii="Times New Roman" w:hAnsi="Times New Roman" w:cs="Times New Roman" w:eastAsiaTheme="minorEastAsia"/>
          <w:bCs/>
          <w:kern w:val="2"/>
          <w:sz w:val="24"/>
          <w:szCs w:val="24"/>
        </w:rPr>
        <w:t>.1.1 预包装食品</w:t>
      </w:r>
    </w:p>
    <w:p w14:paraId="67DF79A9">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7</w:t>
      </w:r>
      <w:r>
        <w:rPr>
          <w:rFonts w:ascii="Times New Roman" w:hAnsi="Times New Roman" w:cs="Times New Roman" w:eastAsiaTheme="minorEastAsia"/>
          <w:bCs/>
          <w:kern w:val="2"/>
          <w:sz w:val="24"/>
          <w:szCs w:val="24"/>
        </w:rPr>
        <w:t>.1.2 食品标签</w:t>
      </w:r>
    </w:p>
    <w:p w14:paraId="034B4800">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7</w:t>
      </w:r>
      <w:r>
        <w:rPr>
          <w:rFonts w:ascii="Times New Roman" w:hAnsi="Times New Roman" w:cs="Times New Roman" w:eastAsiaTheme="minorEastAsia"/>
          <w:bCs/>
          <w:kern w:val="2"/>
          <w:sz w:val="24"/>
          <w:szCs w:val="24"/>
        </w:rPr>
        <w:t>.1.3 保质期</w:t>
      </w:r>
    </w:p>
    <w:p w14:paraId="7A15E849">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7</w:t>
      </w:r>
      <w:r>
        <w:rPr>
          <w:rFonts w:ascii="Times New Roman" w:hAnsi="Times New Roman" w:cs="Times New Roman" w:eastAsiaTheme="minorEastAsia"/>
          <w:bCs/>
          <w:kern w:val="2"/>
          <w:sz w:val="24"/>
          <w:szCs w:val="24"/>
        </w:rPr>
        <w:t>.2 标示内容</w:t>
      </w:r>
    </w:p>
    <w:p w14:paraId="357D32E1">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7</w:t>
      </w:r>
      <w:r>
        <w:rPr>
          <w:rFonts w:ascii="Times New Roman" w:hAnsi="Times New Roman" w:cs="Times New Roman" w:eastAsiaTheme="minorEastAsia"/>
          <w:bCs/>
          <w:kern w:val="2"/>
          <w:sz w:val="24"/>
          <w:szCs w:val="24"/>
        </w:rPr>
        <w:t>.2.1 直接向消费者提供的预包装食品标签标示内容</w:t>
      </w:r>
    </w:p>
    <w:p w14:paraId="1F15C3F9">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7</w:t>
      </w:r>
      <w:r>
        <w:rPr>
          <w:rFonts w:ascii="Times New Roman" w:hAnsi="Times New Roman" w:cs="Times New Roman" w:eastAsiaTheme="minorEastAsia"/>
          <w:bCs/>
          <w:kern w:val="2"/>
          <w:sz w:val="24"/>
          <w:szCs w:val="24"/>
        </w:rPr>
        <w:t>.2.2 预包装食品标示内容的豁免条件</w:t>
      </w:r>
    </w:p>
    <w:p w14:paraId="210BDFF5">
      <w:pPr>
        <w:widowControl w:val="0"/>
        <w:adjustRightInd/>
        <w:snapToGrid/>
        <w:spacing w:after="0" w:line="360" w:lineRule="auto"/>
        <w:ind w:firstLine="482" w:firstLineChars="200"/>
        <w:jc w:val="both"/>
        <w:rPr>
          <w:rFonts w:ascii="Times New Roman" w:hAnsi="Times New Roman" w:cs="Times New Roman" w:eastAsiaTheme="minorEastAsia"/>
          <w:b/>
          <w:bCs/>
          <w:kern w:val="2"/>
          <w:sz w:val="24"/>
          <w:szCs w:val="24"/>
        </w:rPr>
      </w:pPr>
      <w:r>
        <w:rPr>
          <w:rFonts w:hint="eastAsia" w:ascii="Times New Roman" w:hAnsi="Times New Roman" w:cs="Times New Roman" w:eastAsiaTheme="minorEastAsia"/>
          <w:b/>
          <w:bCs/>
          <w:kern w:val="2"/>
          <w:sz w:val="24"/>
          <w:szCs w:val="24"/>
          <w:lang w:val="en-US" w:eastAsia="zh-CN"/>
        </w:rPr>
        <w:t>8</w:t>
      </w:r>
      <w:r>
        <w:rPr>
          <w:rFonts w:ascii="Times New Roman" w:hAnsi="Times New Roman" w:cs="Times New Roman" w:eastAsiaTheme="minorEastAsia"/>
          <w:b/>
          <w:bCs/>
          <w:kern w:val="2"/>
          <w:sz w:val="24"/>
          <w:szCs w:val="24"/>
        </w:rPr>
        <w:t xml:space="preserve"> 食品营养标签应用</w:t>
      </w:r>
    </w:p>
    <w:p w14:paraId="5F9B6BD4">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8</w:t>
      </w:r>
      <w:r>
        <w:rPr>
          <w:rFonts w:ascii="Times New Roman" w:hAnsi="Times New Roman" w:cs="Times New Roman" w:eastAsiaTheme="minorEastAsia"/>
          <w:bCs/>
          <w:kern w:val="2"/>
          <w:sz w:val="24"/>
          <w:szCs w:val="24"/>
        </w:rPr>
        <w:t>.1 预包装食品营养标签</w:t>
      </w:r>
    </w:p>
    <w:p w14:paraId="68849C33">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8</w:t>
      </w:r>
      <w:r>
        <w:rPr>
          <w:rFonts w:ascii="Times New Roman" w:hAnsi="Times New Roman" w:cs="Times New Roman" w:eastAsiaTheme="minorEastAsia"/>
          <w:bCs/>
          <w:kern w:val="2"/>
          <w:sz w:val="24"/>
          <w:szCs w:val="24"/>
        </w:rPr>
        <w:t>.1.1 预包装食品营养标签的标示内容</w:t>
      </w:r>
    </w:p>
    <w:p w14:paraId="426937DB">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8</w:t>
      </w:r>
      <w:r>
        <w:rPr>
          <w:rFonts w:ascii="Times New Roman" w:hAnsi="Times New Roman" w:cs="Times New Roman" w:eastAsiaTheme="minorEastAsia"/>
          <w:bCs/>
          <w:kern w:val="2"/>
          <w:sz w:val="24"/>
          <w:szCs w:val="24"/>
        </w:rPr>
        <w:t>.1.2 预包装食品营养标签的表达方式</w:t>
      </w:r>
    </w:p>
    <w:p w14:paraId="5990928A">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8</w:t>
      </w:r>
      <w:r>
        <w:rPr>
          <w:rFonts w:ascii="Times New Roman" w:hAnsi="Times New Roman" w:cs="Times New Roman" w:eastAsiaTheme="minorEastAsia"/>
          <w:bCs/>
          <w:kern w:val="2"/>
          <w:sz w:val="24"/>
          <w:szCs w:val="24"/>
        </w:rPr>
        <w:t>.2 营养成分表</w:t>
      </w:r>
    </w:p>
    <w:p w14:paraId="1A52AB00">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8</w:t>
      </w:r>
      <w:r>
        <w:rPr>
          <w:rFonts w:ascii="Times New Roman" w:hAnsi="Times New Roman" w:cs="Times New Roman" w:eastAsiaTheme="minorEastAsia"/>
          <w:bCs/>
          <w:kern w:val="2"/>
          <w:sz w:val="24"/>
          <w:szCs w:val="24"/>
        </w:rPr>
        <w:t>.2.1 营养成分表的定义和检查</w:t>
      </w:r>
    </w:p>
    <w:p w14:paraId="7076E3EE">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8</w:t>
      </w:r>
      <w:r>
        <w:rPr>
          <w:rFonts w:ascii="Times New Roman" w:hAnsi="Times New Roman" w:cs="Times New Roman" w:eastAsiaTheme="minorEastAsia"/>
          <w:bCs/>
          <w:kern w:val="2"/>
          <w:sz w:val="24"/>
          <w:szCs w:val="24"/>
        </w:rPr>
        <w:t>.2.2 营养素参考值的定义和使用方法</w:t>
      </w:r>
    </w:p>
    <w:p w14:paraId="1C1325DD">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8</w:t>
      </w:r>
      <w:r>
        <w:rPr>
          <w:rFonts w:ascii="Times New Roman" w:hAnsi="Times New Roman" w:cs="Times New Roman" w:eastAsiaTheme="minorEastAsia"/>
          <w:bCs/>
          <w:kern w:val="2"/>
          <w:sz w:val="24"/>
          <w:szCs w:val="24"/>
        </w:rPr>
        <w:t>.3 能量和营养成分名称</w:t>
      </w:r>
    </w:p>
    <w:p w14:paraId="25A04144">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8</w:t>
      </w:r>
      <w:r>
        <w:rPr>
          <w:rFonts w:ascii="Times New Roman" w:hAnsi="Times New Roman" w:cs="Times New Roman" w:eastAsiaTheme="minorEastAsia"/>
          <w:bCs/>
          <w:kern w:val="2"/>
          <w:sz w:val="24"/>
          <w:szCs w:val="24"/>
        </w:rPr>
        <w:t>.3.1 能量和营养成分含量声称的要求和条件</w:t>
      </w:r>
    </w:p>
    <w:p w14:paraId="0FF4871A">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8</w:t>
      </w:r>
      <w:r>
        <w:rPr>
          <w:rFonts w:ascii="Times New Roman" w:hAnsi="Times New Roman" w:cs="Times New Roman" w:eastAsiaTheme="minorEastAsia"/>
          <w:bCs/>
          <w:kern w:val="2"/>
          <w:sz w:val="24"/>
          <w:szCs w:val="24"/>
        </w:rPr>
        <w:t>.3.2 能量和营养成分含量声称的同义语</w:t>
      </w:r>
    </w:p>
    <w:p w14:paraId="32EFA92B">
      <w:pPr>
        <w:widowControl w:val="0"/>
        <w:adjustRightInd/>
        <w:snapToGrid/>
        <w:spacing w:after="0" w:line="360" w:lineRule="auto"/>
        <w:ind w:firstLine="482" w:firstLineChars="200"/>
        <w:jc w:val="both"/>
        <w:rPr>
          <w:rFonts w:ascii="Times New Roman" w:hAnsi="Times New Roman" w:cs="Times New Roman" w:eastAsiaTheme="minorEastAsia"/>
          <w:b/>
          <w:bCs/>
          <w:kern w:val="2"/>
          <w:sz w:val="24"/>
          <w:szCs w:val="24"/>
        </w:rPr>
      </w:pPr>
      <w:r>
        <w:rPr>
          <w:rFonts w:hint="eastAsia" w:ascii="Times New Roman" w:hAnsi="Times New Roman" w:cs="Times New Roman" w:eastAsiaTheme="minorEastAsia"/>
          <w:b/>
          <w:bCs/>
          <w:kern w:val="2"/>
          <w:sz w:val="24"/>
          <w:szCs w:val="24"/>
          <w:lang w:val="en-US" w:eastAsia="zh-CN"/>
        </w:rPr>
        <w:t>9</w:t>
      </w:r>
      <w:r>
        <w:rPr>
          <w:rFonts w:ascii="Times New Roman" w:hAnsi="Times New Roman" w:cs="Times New Roman" w:eastAsiaTheme="minorEastAsia"/>
          <w:b/>
          <w:bCs/>
          <w:kern w:val="2"/>
          <w:sz w:val="24"/>
          <w:szCs w:val="24"/>
        </w:rPr>
        <w:t xml:space="preserve"> 食品检验标准的应用</w:t>
      </w:r>
    </w:p>
    <w:p w14:paraId="2F399D5B">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9</w:t>
      </w:r>
      <w:r>
        <w:rPr>
          <w:rFonts w:ascii="Times New Roman" w:hAnsi="Times New Roman" w:cs="Times New Roman" w:eastAsiaTheme="minorEastAsia"/>
          <w:bCs/>
          <w:kern w:val="2"/>
          <w:sz w:val="24"/>
          <w:szCs w:val="24"/>
        </w:rPr>
        <w:t>.1 食品检验标准的类型</w:t>
      </w:r>
    </w:p>
    <w:p w14:paraId="50567184">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9</w:t>
      </w:r>
      <w:r>
        <w:rPr>
          <w:rFonts w:ascii="Times New Roman" w:hAnsi="Times New Roman" w:cs="Times New Roman" w:eastAsiaTheme="minorEastAsia"/>
          <w:bCs/>
          <w:kern w:val="2"/>
          <w:sz w:val="24"/>
          <w:szCs w:val="24"/>
        </w:rPr>
        <w:t>.1.1 标准的概述</w:t>
      </w:r>
    </w:p>
    <w:p w14:paraId="1F4DBD68">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9</w:t>
      </w:r>
      <w:r>
        <w:rPr>
          <w:rFonts w:ascii="Times New Roman" w:hAnsi="Times New Roman" w:cs="Times New Roman" w:eastAsiaTheme="minorEastAsia"/>
          <w:bCs/>
          <w:kern w:val="2"/>
          <w:sz w:val="24"/>
          <w:szCs w:val="24"/>
        </w:rPr>
        <w:t>.1.2常用的食品检验标准</w:t>
      </w:r>
    </w:p>
    <w:p w14:paraId="0467FA34">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9</w:t>
      </w:r>
      <w:r>
        <w:rPr>
          <w:rFonts w:ascii="Times New Roman" w:hAnsi="Times New Roman" w:cs="Times New Roman" w:eastAsiaTheme="minorEastAsia"/>
          <w:bCs/>
          <w:kern w:val="2"/>
          <w:sz w:val="24"/>
          <w:szCs w:val="24"/>
        </w:rPr>
        <w:t>.2 食品质量检验的主要任务与内容</w:t>
      </w:r>
    </w:p>
    <w:p w14:paraId="23F651F1">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9</w:t>
      </w:r>
      <w:r>
        <w:rPr>
          <w:rFonts w:ascii="Times New Roman" w:hAnsi="Times New Roman" w:cs="Times New Roman" w:eastAsiaTheme="minorEastAsia"/>
          <w:bCs/>
          <w:kern w:val="2"/>
          <w:sz w:val="24"/>
          <w:szCs w:val="24"/>
        </w:rPr>
        <w:t>.2.1质量检验内容</w:t>
      </w:r>
    </w:p>
    <w:p w14:paraId="3BB2551B">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9</w:t>
      </w:r>
      <w:r>
        <w:rPr>
          <w:rFonts w:ascii="Times New Roman" w:hAnsi="Times New Roman" w:cs="Times New Roman" w:eastAsiaTheme="minorEastAsia"/>
          <w:bCs/>
          <w:kern w:val="2"/>
          <w:sz w:val="24"/>
          <w:szCs w:val="24"/>
        </w:rPr>
        <w:t>.2.2 质量检验记录要求</w:t>
      </w:r>
    </w:p>
    <w:p w14:paraId="4377BC62">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9</w:t>
      </w:r>
      <w:r>
        <w:rPr>
          <w:rFonts w:ascii="Times New Roman" w:hAnsi="Times New Roman" w:cs="Times New Roman" w:eastAsiaTheme="minorEastAsia"/>
          <w:bCs/>
          <w:kern w:val="2"/>
          <w:sz w:val="24"/>
          <w:szCs w:val="24"/>
        </w:rPr>
        <w:t>.2.3 质量检验结果判断</w:t>
      </w:r>
    </w:p>
    <w:p w14:paraId="6382D1B1">
      <w:pPr>
        <w:widowControl w:val="0"/>
        <w:adjustRightInd/>
        <w:snapToGrid/>
        <w:spacing w:after="0" w:line="360" w:lineRule="auto"/>
        <w:ind w:firstLine="482" w:firstLineChars="200"/>
        <w:jc w:val="both"/>
        <w:rPr>
          <w:rFonts w:ascii="Times New Roman" w:hAnsi="Times New Roman" w:cs="Times New Roman" w:eastAsiaTheme="minorEastAsia"/>
          <w:b/>
          <w:bCs/>
          <w:kern w:val="2"/>
          <w:sz w:val="24"/>
          <w:szCs w:val="24"/>
        </w:rPr>
      </w:pPr>
      <w:r>
        <w:rPr>
          <w:rFonts w:ascii="Times New Roman" w:hAnsi="Times New Roman" w:cs="Times New Roman" w:eastAsiaTheme="minorEastAsia"/>
          <w:b/>
          <w:bCs/>
          <w:kern w:val="2"/>
          <w:sz w:val="24"/>
          <w:szCs w:val="24"/>
        </w:rPr>
        <w:t>1</w:t>
      </w:r>
      <w:r>
        <w:rPr>
          <w:rFonts w:hint="eastAsia" w:ascii="Times New Roman" w:hAnsi="Times New Roman" w:cs="Times New Roman" w:eastAsiaTheme="minorEastAsia"/>
          <w:b/>
          <w:bCs/>
          <w:kern w:val="2"/>
          <w:sz w:val="24"/>
          <w:szCs w:val="24"/>
          <w:lang w:val="en-US" w:eastAsia="zh-CN"/>
        </w:rPr>
        <w:t>0</w:t>
      </w:r>
      <w:r>
        <w:rPr>
          <w:rFonts w:ascii="Times New Roman" w:hAnsi="Times New Roman" w:cs="Times New Roman" w:eastAsiaTheme="minorEastAsia"/>
          <w:b/>
          <w:bCs/>
          <w:kern w:val="2"/>
          <w:sz w:val="24"/>
          <w:szCs w:val="24"/>
        </w:rPr>
        <w:t xml:space="preserve"> 样品的采集与制备</w:t>
      </w:r>
    </w:p>
    <w:p w14:paraId="2CB36831">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0</w:t>
      </w:r>
      <w:r>
        <w:rPr>
          <w:rFonts w:ascii="Times New Roman" w:hAnsi="Times New Roman" w:cs="Times New Roman" w:eastAsiaTheme="minorEastAsia"/>
          <w:bCs/>
          <w:kern w:val="2"/>
          <w:sz w:val="24"/>
          <w:szCs w:val="24"/>
        </w:rPr>
        <w:t>.1 样品的抽样</w:t>
      </w:r>
    </w:p>
    <w:p w14:paraId="79B0E10F">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0</w:t>
      </w:r>
      <w:r>
        <w:rPr>
          <w:rFonts w:ascii="Times New Roman" w:hAnsi="Times New Roman" w:cs="Times New Roman" w:eastAsiaTheme="minorEastAsia"/>
          <w:bCs/>
          <w:kern w:val="2"/>
          <w:sz w:val="24"/>
          <w:szCs w:val="24"/>
        </w:rPr>
        <w:t>.1.1 抽样的概述</w:t>
      </w:r>
    </w:p>
    <w:p w14:paraId="11B704AC">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0</w:t>
      </w:r>
      <w:r>
        <w:rPr>
          <w:rFonts w:ascii="Times New Roman" w:hAnsi="Times New Roman" w:cs="Times New Roman" w:eastAsiaTheme="minorEastAsia"/>
          <w:bCs/>
          <w:kern w:val="2"/>
          <w:sz w:val="24"/>
          <w:szCs w:val="24"/>
        </w:rPr>
        <w:t>.1.2采样要求和原则</w:t>
      </w:r>
    </w:p>
    <w:p w14:paraId="353AF6A7">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0</w:t>
      </w:r>
      <w:r>
        <w:rPr>
          <w:rFonts w:ascii="Times New Roman" w:hAnsi="Times New Roman" w:cs="Times New Roman" w:eastAsiaTheme="minorEastAsia"/>
          <w:bCs/>
          <w:kern w:val="2"/>
          <w:sz w:val="24"/>
          <w:szCs w:val="24"/>
        </w:rPr>
        <w:t>.2 样品的采集和制备</w:t>
      </w:r>
    </w:p>
    <w:p w14:paraId="3215390A">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0</w:t>
      </w:r>
      <w:r>
        <w:rPr>
          <w:rFonts w:ascii="Times New Roman" w:hAnsi="Times New Roman" w:cs="Times New Roman" w:eastAsiaTheme="minorEastAsia"/>
          <w:bCs/>
          <w:kern w:val="2"/>
          <w:sz w:val="24"/>
          <w:szCs w:val="24"/>
        </w:rPr>
        <w:t>.2.1 样品的采集方法和数量</w:t>
      </w:r>
    </w:p>
    <w:p w14:paraId="7339FC56">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0</w:t>
      </w:r>
      <w:r>
        <w:rPr>
          <w:rFonts w:ascii="Times New Roman" w:hAnsi="Times New Roman" w:cs="Times New Roman" w:eastAsiaTheme="minorEastAsia"/>
          <w:bCs/>
          <w:kern w:val="2"/>
          <w:sz w:val="24"/>
          <w:szCs w:val="24"/>
        </w:rPr>
        <w:t>.2.2 样品的制备原则和方法</w:t>
      </w:r>
    </w:p>
    <w:p w14:paraId="129268EE">
      <w:pPr>
        <w:widowControl w:val="0"/>
        <w:adjustRightInd/>
        <w:snapToGrid/>
        <w:spacing w:after="0" w:line="360" w:lineRule="auto"/>
        <w:ind w:firstLine="482" w:firstLineChars="200"/>
        <w:jc w:val="both"/>
        <w:rPr>
          <w:rFonts w:ascii="Times New Roman" w:hAnsi="Times New Roman" w:cs="Times New Roman" w:eastAsiaTheme="minorEastAsia"/>
          <w:b/>
          <w:bCs/>
          <w:kern w:val="2"/>
          <w:sz w:val="24"/>
          <w:szCs w:val="24"/>
        </w:rPr>
      </w:pPr>
      <w:r>
        <w:rPr>
          <w:rFonts w:ascii="Times New Roman" w:hAnsi="Times New Roman" w:cs="Times New Roman" w:eastAsiaTheme="minorEastAsia"/>
          <w:b/>
          <w:bCs/>
          <w:kern w:val="2"/>
          <w:sz w:val="24"/>
          <w:szCs w:val="24"/>
        </w:rPr>
        <w:t>1</w:t>
      </w:r>
      <w:r>
        <w:rPr>
          <w:rFonts w:hint="eastAsia" w:ascii="Times New Roman" w:hAnsi="Times New Roman" w:cs="Times New Roman" w:eastAsiaTheme="minorEastAsia"/>
          <w:b/>
          <w:bCs/>
          <w:kern w:val="2"/>
          <w:sz w:val="24"/>
          <w:szCs w:val="24"/>
          <w:lang w:val="en-US" w:eastAsia="zh-CN"/>
        </w:rPr>
        <w:t>1</w:t>
      </w:r>
      <w:r>
        <w:rPr>
          <w:rFonts w:ascii="Times New Roman" w:hAnsi="Times New Roman" w:cs="Times New Roman" w:eastAsiaTheme="minorEastAsia"/>
          <w:b/>
          <w:bCs/>
          <w:kern w:val="2"/>
          <w:sz w:val="24"/>
          <w:szCs w:val="24"/>
        </w:rPr>
        <w:t xml:space="preserve"> 水分测定</w:t>
      </w:r>
    </w:p>
    <w:p w14:paraId="15D02557">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1</w:t>
      </w:r>
      <w:r>
        <w:rPr>
          <w:rFonts w:ascii="Times New Roman" w:hAnsi="Times New Roman" w:cs="Times New Roman" w:eastAsiaTheme="minorEastAsia"/>
          <w:bCs/>
          <w:kern w:val="2"/>
          <w:sz w:val="24"/>
          <w:szCs w:val="24"/>
        </w:rPr>
        <w:t>.1 水分测定常用方法</w:t>
      </w:r>
    </w:p>
    <w:p w14:paraId="6D353AE4">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1</w:t>
      </w:r>
      <w:r>
        <w:rPr>
          <w:rFonts w:ascii="Times New Roman" w:hAnsi="Times New Roman" w:cs="Times New Roman" w:eastAsiaTheme="minorEastAsia"/>
          <w:bCs/>
          <w:kern w:val="2"/>
          <w:sz w:val="24"/>
          <w:szCs w:val="24"/>
        </w:rPr>
        <w:t>.1.1 水分测定常用方法和适用范围</w:t>
      </w:r>
    </w:p>
    <w:p w14:paraId="2E213730">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1</w:t>
      </w:r>
      <w:r>
        <w:rPr>
          <w:rFonts w:ascii="Times New Roman" w:hAnsi="Times New Roman" w:cs="Times New Roman" w:eastAsiaTheme="minorEastAsia"/>
          <w:bCs/>
          <w:kern w:val="2"/>
          <w:sz w:val="24"/>
          <w:szCs w:val="24"/>
        </w:rPr>
        <w:t>.1.2水分测定方法的原理</w:t>
      </w:r>
    </w:p>
    <w:p w14:paraId="4B4EF7BD">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1</w:t>
      </w:r>
      <w:r>
        <w:rPr>
          <w:rFonts w:ascii="Times New Roman" w:hAnsi="Times New Roman" w:cs="Times New Roman" w:eastAsiaTheme="minorEastAsia"/>
          <w:bCs/>
          <w:kern w:val="2"/>
          <w:sz w:val="24"/>
          <w:szCs w:val="24"/>
        </w:rPr>
        <w:t>.2 水分测定的准备</w:t>
      </w:r>
    </w:p>
    <w:p w14:paraId="2F82FC8E">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1</w:t>
      </w:r>
      <w:r>
        <w:rPr>
          <w:rFonts w:ascii="Times New Roman" w:hAnsi="Times New Roman" w:cs="Times New Roman" w:eastAsiaTheme="minorEastAsia"/>
          <w:bCs/>
          <w:kern w:val="2"/>
          <w:sz w:val="24"/>
          <w:szCs w:val="24"/>
        </w:rPr>
        <w:t>.2.1 水分测定的试剂选择</w:t>
      </w:r>
    </w:p>
    <w:p w14:paraId="4F1FA6D5">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highlight w:val="none"/>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1</w:t>
      </w:r>
      <w:r>
        <w:rPr>
          <w:rFonts w:ascii="Times New Roman" w:hAnsi="Times New Roman" w:cs="Times New Roman" w:eastAsiaTheme="minorEastAsia"/>
          <w:bCs/>
          <w:kern w:val="2"/>
          <w:sz w:val="24"/>
          <w:szCs w:val="24"/>
        </w:rPr>
        <w:t xml:space="preserve">.2.2 </w:t>
      </w:r>
      <w:r>
        <w:rPr>
          <w:rFonts w:ascii="Times New Roman" w:hAnsi="Times New Roman" w:cs="Times New Roman" w:eastAsiaTheme="minorEastAsia"/>
          <w:bCs/>
          <w:kern w:val="2"/>
          <w:sz w:val="24"/>
          <w:szCs w:val="24"/>
          <w:highlight w:val="none"/>
        </w:rPr>
        <w:t>水分测定的仪器选择</w:t>
      </w:r>
    </w:p>
    <w:p w14:paraId="0C500BA7">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highlight w:val="none"/>
        </w:rPr>
      </w:pPr>
      <w:r>
        <w:rPr>
          <w:rFonts w:ascii="Times New Roman" w:hAnsi="Times New Roman" w:cs="Times New Roman" w:eastAsiaTheme="minorEastAsia"/>
          <w:bCs/>
          <w:kern w:val="2"/>
          <w:sz w:val="24"/>
          <w:szCs w:val="24"/>
          <w:highlight w:val="none"/>
        </w:rPr>
        <w:t>1</w:t>
      </w:r>
      <w:r>
        <w:rPr>
          <w:rFonts w:hint="eastAsia" w:ascii="Times New Roman" w:hAnsi="Times New Roman" w:cs="Times New Roman" w:eastAsiaTheme="minorEastAsia"/>
          <w:bCs/>
          <w:kern w:val="2"/>
          <w:sz w:val="24"/>
          <w:szCs w:val="24"/>
          <w:highlight w:val="none"/>
          <w:lang w:val="en-US" w:eastAsia="zh-CN"/>
        </w:rPr>
        <w:t>1</w:t>
      </w:r>
      <w:r>
        <w:rPr>
          <w:rFonts w:ascii="Times New Roman" w:hAnsi="Times New Roman" w:cs="Times New Roman" w:eastAsiaTheme="minorEastAsia"/>
          <w:bCs/>
          <w:kern w:val="2"/>
          <w:sz w:val="24"/>
          <w:szCs w:val="24"/>
          <w:highlight w:val="none"/>
        </w:rPr>
        <w:t>.3 水分测定的步骤</w:t>
      </w:r>
    </w:p>
    <w:p w14:paraId="75DBCA13">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highlight w:val="none"/>
        </w:rPr>
      </w:pPr>
      <w:r>
        <w:rPr>
          <w:rFonts w:ascii="Times New Roman" w:hAnsi="Times New Roman" w:cs="Times New Roman" w:eastAsiaTheme="minorEastAsia"/>
          <w:bCs/>
          <w:kern w:val="2"/>
          <w:sz w:val="24"/>
          <w:szCs w:val="24"/>
          <w:highlight w:val="none"/>
        </w:rPr>
        <w:t>1</w:t>
      </w:r>
      <w:r>
        <w:rPr>
          <w:rFonts w:hint="eastAsia" w:ascii="Times New Roman" w:hAnsi="Times New Roman" w:cs="Times New Roman" w:eastAsiaTheme="minorEastAsia"/>
          <w:bCs/>
          <w:kern w:val="2"/>
          <w:sz w:val="24"/>
          <w:szCs w:val="24"/>
          <w:highlight w:val="none"/>
          <w:lang w:val="en-US" w:eastAsia="zh-CN"/>
        </w:rPr>
        <w:t>1</w:t>
      </w:r>
      <w:r>
        <w:rPr>
          <w:rFonts w:ascii="Times New Roman" w:hAnsi="Times New Roman" w:cs="Times New Roman" w:eastAsiaTheme="minorEastAsia"/>
          <w:bCs/>
          <w:kern w:val="2"/>
          <w:sz w:val="24"/>
          <w:szCs w:val="24"/>
          <w:highlight w:val="none"/>
        </w:rPr>
        <w:t>.3.1</w:t>
      </w:r>
      <w:r>
        <w:rPr>
          <w:rFonts w:ascii="Times New Roman" w:hAnsi="Times New Roman" w:cs="Times New Roman" w:eastAsiaTheme="minorEastAsia"/>
          <w:bCs/>
          <w:color w:val="C00000"/>
          <w:kern w:val="2"/>
          <w:sz w:val="24"/>
          <w:szCs w:val="24"/>
          <w:highlight w:val="none"/>
        </w:rPr>
        <w:t xml:space="preserve"> 干燥法</w:t>
      </w:r>
      <w:r>
        <w:rPr>
          <w:rFonts w:ascii="Times New Roman" w:hAnsi="Times New Roman" w:cs="Times New Roman" w:eastAsiaTheme="minorEastAsia"/>
          <w:bCs/>
          <w:kern w:val="2"/>
          <w:sz w:val="24"/>
          <w:szCs w:val="24"/>
          <w:highlight w:val="none"/>
        </w:rPr>
        <w:t>水分测定的步骤</w:t>
      </w:r>
    </w:p>
    <w:p w14:paraId="0BE434E4">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highlight w:val="none"/>
        </w:rPr>
      </w:pPr>
      <w:r>
        <w:rPr>
          <w:rFonts w:ascii="Times New Roman" w:hAnsi="Times New Roman" w:cs="Times New Roman" w:eastAsiaTheme="minorEastAsia"/>
          <w:bCs/>
          <w:kern w:val="2"/>
          <w:sz w:val="24"/>
          <w:szCs w:val="24"/>
          <w:highlight w:val="none"/>
        </w:rPr>
        <w:t>1</w:t>
      </w:r>
      <w:r>
        <w:rPr>
          <w:rFonts w:hint="eastAsia" w:ascii="Times New Roman" w:hAnsi="Times New Roman" w:cs="Times New Roman" w:eastAsiaTheme="minorEastAsia"/>
          <w:bCs/>
          <w:kern w:val="2"/>
          <w:sz w:val="24"/>
          <w:szCs w:val="24"/>
          <w:highlight w:val="none"/>
          <w:lang w:val="en-US" w:eastAsia="zh-CN"/>
        </w:rPr>
        <w:t>1</w:t>
      </w:r>
      <w:r>
        <w:rPr>
          <w:rFonts w:ascii="Times New Roman" w:hAnsi="Times New Roman" w:cs="Times New Roman" w:eastAsiaTheme="minorEastAsia"/>
          <w:bCs/>
          <w:kern w:val="2"/>
          <w:sz w:val="24"/>
          <w:szCs w:val="24"/>
          <w:highlight w:val="none"/>
        </w:rPr>
        <w:t>.3.2 蒸馏法水分测定的步骤</w:t>
      </w:r>
    </w:p>
    <w:p w14:paraId="4CCDB737">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highlight w:val="none"/>
        </w:rPr>
        <w:t>1</w:t>
      </w:r>
      <w:r>
        <w:rPr>
          <w:rFonts w:hint="eastAsia" w:ascii="Times New Roman" w:hAnsi="Times New Roman" w:cs="Times New Roman" w:eastAsiaTheme="minorEastAsia"/>
          <w:bCs/>
          <w:kern w:val="2"/>
          <w:sz w:val="24"/>
          <w:szCs w:val="24"/>
          <w:highlight w:val="none"/>
          <w:lang w:val="en-US" w:eastAsia="zh-CN"/>
        </w:rPr>
        <w:t>1</w:t>
      </w:r>
      <w:r>
        <w:rPr>
          <w:rFonts w:ascii="Times New Roman" w:hAnsi="Times New Roman" w:cs="Times New Roman" w:eastAsiaTheme="minorEastAsia"/>
          <w:bCs/>
          <w:kern w:val="2"/>
          <w:sz w:val="24"/>
          <w:szCs w:val="24"/>
          <w:highlight w:val="none"/>
        </w:rPr>
        <w:t>.4 水分含量的结果判</w:t>
      </w:r>
      <w:r>
        <w:rPr>
          <w:rFonts w:ascii="Times New Roman" w:hAnsi="Times New Roman" w:cs="Times New Roman" w:eastAsiaTheme="minorEastAsia"/>
          <w:bCs/>
          <w:kern w:val="2"/>
          <w:sz w:val="24"/>
          <w:szCs w:val="24"/>
        </w:rPr>
        <w:t>断</w:t>
      </w:r>
    </w:p>
    <w:p w14:paraId="0AFA8F27">
      <w:pPr>
        <w:widowControl w:val="0"/>
        <w:adjustRightInd/>
        <w:snapToGrid/>
        <w:spacing w:after="0" w:line="360" w:lineRule="auto"/>
        <w:ind w:firstLine="482" w:firstLineChars="200"/>
        <w:jc w:val="both"/>
        <w:rPr>
          <w:rFonts w:ascii="Times New Roman" w:hAnsi="Times New Roman" w:cs="Times New Roman" w:eastAsiaTheme="minorEastAsia"/>
          <w:b/>
          <w:bCs/>
          <w:kern w:val="2"/>
          <w:sz w:val="24"/>
          <w:szCs w:val="24"/>
        </w:rPr>
      </w:pPr>
      <w:r>
        <w:rPr>
          <w:rFonts w:ascii="Times New Roman" w:hAnsi="Times New Roman" w:cs="Times New Roman" w:eastAsiaTheme="minorEastAsia"/>
          <w:b/>
          <w:bCs/>
          <w:kern w:val="2"/>
          <w:sz w:val="24"/>
          <w:szCs w:val="24"/>
        </w:rPr>
        <w:t>1</w:t>
      </w:r>
      <w:r>
        <w:rPr>
          <w:rFonts w:hint="eastAsia" w:ascii="Times New Roman" w:hAnsi="Times New Roman" w:cs="Times New Roman" w:eastAsiaTheme="minorEastAsia"/>
          <w:b/>
          <w:bCs/>
          <w:kern w:val="2"/>
          <w:sz w:val="24"/>
          <w:szCs w:val="24"/>
          <w:lang w:val="en-US" w:eastAsia="zh-CN"/>
        </w:rPr>
        <w:t>2</w:t>
      </w:r>
      <w:r>
        <w:rPr>
          <w:rFonts w:ascii="Times New Roman" w:hAnsi="Times New Roman" w:cs="Times New Roman" w:eastAsiaTheme="minorEastAsia"/>
          <w:b/>
          <w:bCs/>
          <w:kern w:val="2"/>
          <w:sz w:val="24"/>
          <w:szCs w:val="24"/>
        </w:rPr>
        <w:t xml:space="preserve"> 灰分测定</w:t>
      </w:r>
    </w:p>
    <w:p w14:paraId="49527A4C">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2</w:t>
      </w:r>
      <w:r>
        <w:rPr>
          <w:rFonts w:ascii="Times New Roman" w:hAnsi="Times New Roman" w:cs="Times New Roman" w:eastAsiaTheme="minorEastAsia"/>
          <w:bCs/>
          <w:kern w:val="2"/>
          <w:sz w:val="24"/>
          <w:szCs w:val="24"/>
        </w:rPr>
        <w:t>.1</w:t>
      </w:r>
      <w:r>
        <w:rPr>
          <w:rFonts w:ascii="Times New Roman" w:hAnsi="Times New Roman" w:cs="Times New Roman" w:eastAsiaTheme="minorEastAsia"/>
          <w:bCs/>
          <w:color w:val="0000FF"/>
          <w:kern w:val="2"/>
          <w:sz w:val="24"/>
          <w:szCs w:val="24"/>
        </w:rPr>
        <w:t xml:space="preserve"> </w:t>
      </w:r>
      <w:r>
        <w:rPr>
          <w:rFonts w:ascii="Times New Roman" w:hAnsi="Times New Roman" w:cs="Times New Roman" w:eastAsiaTheme="minorEastAsia"/>
          <w:bCs/>
          <w:color w:val="auto"/>
          <w:kern w:val="2"/>
          <w:sz w:val="24"/>
          <w:szCs w:val="24"/>
          <w:highlight w:val="none"/>
        </w:rPr>
        <w:t>灰分测定</w:t>
      </w:r>
      <w:r>
        <w:rPr>
          <w:rFonts w:ascii="Times New Roman" w:hAnsi="Times New Roman" w:cs="Times New Roman" w:eastAsiaTheme="minorEastAsia"/>
          <w:bCs/>
          <w:kern w:val="2"/>
          <w:sz w:val="24"/>
          <w:szCs w:val="24"/>
        </w:rPr>
        <w:t>常用方法</w:t>
      </w:r>
    </w:p>
    <w:p w14:paraId="7C2A991C">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2</w:t>
      </w:r>
      <w:r>
        <w:rPr>
          <w:rFonts w:ascii="Times New Roman" w:hAnsi="Times New Roman" w:cs="Times New Roman" w:eastAsiaTheme="minorEastAsia"/>
          <w:bCs/>
          <w:kern w:val="2"/>
          <w:sz w:val="24"/>
          <w:szCs w:val="24"/>
        </w:rPr>
        <w:t>.1.1 灰分的分类</w:t>
      </w:r>
    </w:p>
    <w:p w14:paraId="0940CFC5">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2</w:t>
      </w:r>
      <w:r>
        <w:rPr>
          <w:rFonts w:ascii="Times New Roman" w:hAnsi="Times New Roman" w:cs="Times New Roman" w:eastAsiaTheme="minorEastAsia"/>
          <w:bCs/>
          <w:kern w:val="2"/>
          <w:sz w:val="24"/>
          <w:szCs w:val="24"/>
        </w:rPr>
        <w:t>.1.2 灰分测定常用方法和适用范围</w:t>
      </w:r>
    </w:p>
    <w:p w14:paraId="166F7124">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2</w:t>
      </w:r>
      <w:r>
        <w:rPr>
          <w:rFonts w:ascii="Times New Roman" w:hAnsi="Times New Roman" w:cs="Times New Roman" w:eastAsiaTheme="minorEastAsia"/>
          <w:bCs/>
          <w:kern w:val="2"/>
          <w:sz w:val="24"/>
          <w:szCs w:val="24"/>
        </w:rPr>
        <w:t>.1.3 灰分测定方法的原理</w:t>
      </w:r>
    </w:p>
    <w:p w14:paraId="4C542AE0">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2</w:t>
      </w:r>
      <w:r>
        <w:rPr>
          <w:rFonts w:ascii="Times New Roman" w:hAnsi="Times New Roman" w:cs="Times New Roman" w:eastAsiaTheme="minorEastAsia"/>
          <w:bCs/>
          <w:kern w:val="2"/>
          <w:sz w:val="24"/>
          <w:szCs w:val="24"/>
        </w:rPr>
        <w:t>.2 灰分测定的准备</w:t>
      </w:r>
    </w:p>
    <w:p w14:paraId="53FDA113">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2</w:t>
      </w:r>
      <w:r>
        <w:rPr>
          <w:rFonts w:ascii="Times New Roman" w:hAnsi="Times New Roman" w:cs="Times New Roman" w:eastAsiaTheme="minorEastAsia"/>
          <w:bCs/>
          <w:kern w:val="2"/>
          <w:sz w:val="24"/>
          <w:szCs w:val="24"/>
        </w:rPr>
        <w:t>.2.1 灰分测定的试剂选择</w:t>
      </w:r>
    </w:p>
    <w:p w14:paraId="44193D9A">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2</w:t>
      </w:r>
      <w:r>
        <w:rPr>
          <w:rFonts w:ascii="Times New Roman" w:hAnsi="Times New Roman" w:cs="Times New Roman" w:eastAsiaTheme="minorEastAsia"/>
          <w:bCs/>
          <w:kern w:val="2"/>
          <w:sz w:val="24"/>
          <w:szCs w:val="24"/>
        </w:rPr>
        <w:t>.2.2 灰分测定的仪器选择</w:t>
      </w:r>
    </w:p>
    <w:p w14:paraId="175D25C6">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2</w:t>
      </w:r>
      <w:r>
        <w:rPr>
          <w:rFonts w:ascii="Times New Roman" w:hAnsi="Times New Roman" w:cs="Times New Roman" w:eastAsiaTheme="minorEastAsia"/>
          <w:bCs/>
          <w:kern w:val="2"/>
          <w:sz w:val="24"/>
          <w:szCs w:val="24"/>
        </w:rPr>
        <w:t>.3 灰分测定的步骤</w:t>
      </w:r>
    </w:p>
    <w:p w14:paraId="6B7ED4D3">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2</w:t>
      </w:r>
      <w:r>
        <w:rPr>
          <w:rFonts w:ascii="Times New Roman" w:hAnsi="Times New Roman" w:cs="Times New Roman" w:eastAsiaTheme="minorEastAsia"/>
          <w:bCs/>
          <w:kern w:val="2"/>
          <w:sz w:val="24"/>
          <w:szCs w:val="24"/>
        </w:rPr>
        <w:t>.3.1 总灰分测定的步骤</w:t>
      </w:r>
    </w:p>
    <w:p w14:paraId="7BB78FD2">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2</w:t>
      </w:r>
      <w:r>
        <w:rPr>
          <w:rFonts w:ascii="Times New Roman" w:hAnsi="Times New Roman" w:cs="Times New Roman" w:eastAsiaTheme="minorEastAsia"/>
          <w:bCs/>
          <w:kern w:val="2"/>
          <w:sz w:val="24"/>
          <w:szCs w:val="24"/>
        </w:rPr>
        <w:t>.3.2 水溶性灰分和水不溶性灰分测定的步骤</w:t>
      </w:r>
    </w:p>
    <w:p w14:paraId="4C155E27">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2</w:t>
      </w:r>
      <w:r>
        <w:rPr>
          <w:rFonts w:ascii="Times New Roman" w:hAnsi="Times New Roman" w:cs="Times New Roman" w:eastAsiaTheme="minorEastAsia"/>
          <w:bCs/>
          <w:kern w:val="2"/>
          <w:sz w:val="24"/>
          <w:szCs w:val="24"/>
        </w:rPr>
        <w:t>.3.3 酸不溶性灰分测定的步骤</w:t>
      </w:r>
    </w:p>
    <w:p w14:paraId="6AC9E98A">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2</w:t>
      </w:r>
      <w:r>
        <w:rPr>
          <w:rFonts w:ascii="Times New Roman" w:hAnsi="Times New Roman" w:cs="Times New Roman" w:eastAsiaTheme="minorEastAsia"/>
          <w:bCs/>
          <w:kern w:val="2"/>
          <w:sz w:val="24"/>
          <w:szCs w:val="24"/>
        </w:rPr>
        <w:t>.4灰分含量的结果判断</w:t>
      </w:r>
    </w:p>
    <w:p w14:paraId="5F113822">
      <w:pPr>
        <w:widowControl w:val="0"/>
        <w:adjustRightInd/>
        <w:snapToGrid/>
        <w:spacing w:after="0" w:line="360" w:lineRule="auto"/>
        <w:ind w:firstLine="482" w:firstLineChars="200"/>
        <w:jc w:val="both"/>
        <w:rPr>
          <w:rFonts w:ascii="Times New Roman" w:hAnsi="Times New Roman" w:cs="Times New Roman" w:eastAsiaTheme="minorEastAsia"/>
          <w:b/>
          <w:bCs/>
          <w:kern w:val="2"/>
          <w:sz w:val="24"/>
          <w:szCs w:val="24"/>
        </w:rPr>
      </w:pPr>
      <w:r>
        <w:rPr>
          <w:rFonts w:ascii="Times New Roman" w:hAnsi="Times New Roman" w:cs="Times New Roman" w:eastAsiaTheme="minorEastAsia"/>
          <w:b/>
          <w:bCs/>
          <w:kern w:val="2"/>
          <w:sz w:val="24"/>
          <w:szCs w:val="24"/>
        </w:rPr>
        <w:t>1</w:t>
      </w:r>
      <w:r>
        <w:rPr>
          <w:rFonts w:hint="eastAsia" w:ascii="Times New Roman" w:hAnsi="Times New Roman" w:cs="Times New Roman" w:eastAsiaTheme="minorEastAsia"/>
          <w:b/>
          <w:bCs/>
          <w:kern w:val="2"/>
          <w:sz w:val="24"/>
          <w:szCs w:val="24"/>
          <w:lang w:val="en-US" w:eastAsia="zh-CN"/>
        </w:rPr>
        <w:t>3</w:t>
      </w:r>
      <w:r>
        <w:rPr>
          <w:rFonts w:ascii="Times New Roman" w:hAnsi="Times New Roman" w:cs="Times New Roman" w:eastAsiaTheme="minorEastAsia"/>
          <w:b/>
          <w:bCs/>
          <w:kern w:val="2"/>
          <w:sz w:val="24"/>
          <w:szCs w:val="24"/>
        </w:rPr>
        <w:t xml:space="preserve"> 脂肪测定</w:t>
      </w:r>
    </w:p>
    <w:p w14:paraId="32A36ADC">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3</w:t>
      </w:r>
      <w:r>
        <w:rPr>
          <w:rFonts w:ascii="Times New Roman" w:hAnsi="Times New Roman" w:cs="Times New Roman" w:eastAsiaTheme="minorEastAsia"/>
          <w:bCs/>
          <w:kern w:val="2"/>
          <w:sz w:val="24"/>
          <w:szCs w:val="24"/>
        </w:rPr>
        <w:t>.1 脂肪测定常用方法</w:t>
      </w:r>
    </w:p>
    <w:p w14:paraId="42475316">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3</w:t>
      </w:r>
      <w:r>
        <w:rPr>
          <w:rFonts w:ascii="Times New Roman" w:hAnsi="Times New Roman" w:cs="Times New Roman" w:eastAsiaTheme="minorEastAsia"/>
          <w:bCs/>
          <w:kern w:val="2"/>
          <w:sz w:val="24"/>
          <w:szCs w:val="24"/>
        </w:rPr>
        <w:t>.1.1 脂肪测定常用方法和适用范围</w:t>
      </w:r>
    </w:p>
    <w:p w14:paraId="454B52AD">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3</w:t>
      </w:r>
      <w:r>
        <w:rPr>
          <w:rFonts w:ascii="Times New Roman" w:hAnsi="Times New Roman" w:cs="Times New Roman" w:eastAsiaTheme="minorEastAsia"/>
          <w:bCs/>
          <w:kern w:val="2"/>
          <w:sz w:val="24"/>
          <w:szCs w:val="24"/>
        </w:rPr>
        <w:t>.1.2脂肪测定方法的原理</w:t>
      </w:r>
    </w:p>
    <w:p w14:paraId="75AF8EF6">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3</w:t>
      </w:r>
      <w:r>
        <w:rPr>
          <w:rFonts w:ascii="Times New Roman" w:hAnsi="Times New Roman" w:cs="Times New Roman" w:eastAsiaTheme="minorEastAsia"/>
          <w:bCs/>
          <w:kern w:val="2"/>
          <w:sz w:val="24"/>
          <w:szCs w:val="24"/>
        </w:rPr>
        <w:t>.2 脂肪测定的准备</w:t>
      </w:r>
    </w:p>
    <w:p w14:paraId="6B0C6495">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3</w:t>
      </w:r>
      <w:r>
        <w:rPr>
          <w:rFonts w:ascii="Times New Roman" w:hAnsi="Times New Roman" w:cs="Times New Roman" w:eastAsiaTheme="minorEastAsia"/>
          <w:bCs/>
          <w:kern w:val="2"/>
          <w:sz w:val="24"/>
          <w:szCs w:val="24"/>
        </w:rPr>
        <w:t>.2.1 脂肪测定的试剂选择</w:t>
      </w:r>
    </w:p>
    <w:p w14:paraId="557B93A6">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3</w:t>
      </w:r>
      <w:r>
        <w:rPr>
          <w:rFonts w:ascii="Times New Roman" w:hAnsi="Times New Roman" w:cs="Times New Roman" w:eastAsiaTheme="minorEastAsia"/>
          <w:bCs/>
          <w:kern w:val="2"/>
          <w:sz w:val="24"/>
          <w:szCs w:val="24"/>
        </w:rPr>
        <w:t>.2.2 脂肪测定的仪器选择</w:t>
      </w:r>
    </w:p>
    <w:p w14:paraId="00DC3A53">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3</w:t>
      </w:r>
      <w:r>
        <w:rPr>
          <w:rFonts w:ascii="Times New Roman" w:hAnsi="Times New Roman" w:cs="Times New Roman" w:eastAsiaTheme="minorEastAsia"/>
          <w:bCs/>
          <w:kern w:val="2"/>
          <w:sz w:val="24"/>
          <w:szCs w:val="24"/>
        </w:rPr>
        <w:t>.3 脂肪测定的步骤</w:t>
      </w:r>
    </w:p>
    <w:p w14:paraId="1BB62EAA">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3</w:t>
      </w:r>
      <w:r>
        <w:rPr>
          <w:rFonts w:ascii="Times New Roman" w:hAnsi="Times New Roman" w:cs="Times New Roman" w:eastAsiaTheme="minorEastAsia"/>
          <w:bCs/>
          <w:kern w:val="2"/>
          <w:sz w:val="24"/>
          <w:szCs w:val="24"/>
        </w:rPr>
        <w:t>.3.1 索氏抽提法脂肪测定的步骤</w:t>
      </w:r>
    </w:p>
    <w:p w14:paraId="3728DF31">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3</w:t>
      </w:r>
      <w:r>
        <w:rPr>
          <w:rFonts w:ascii="Times New Roman" w:hAnsi="Times New Roman" w:cs="Times New Roman" w:eastAsiaTheme="minorEastAsia"/>
          <w:bCs/>
          <w:kern w:val="2"/>
          <w:sz w:val="24"/>
          <w:szCs w:val="24"/>
        </w:rPr>
        <w:t>.3.2 酸水解法脂肪测定的步骤</w:t>
      </w:r>
    </w:p>
    <w:p w14:paraId="360718F4">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3</w:t>
      </w:r>
      <w:r>
        <w:rPr>
          <w:rFonts w:ascii="Times New Roman" w:hAnsi="Times New Roman" w:cs="Times New Roman" w:eastAsiaTheme="minorEastAsia"/>
          <w:bCs/>
          <w:kern w:val="2"/>
          <w:sz w:val="24"/>
          <w:szCs w:val="24"/>
        </w:rPr>
        <w:t xml:space="preserve">.3.3 碱水解法脂肪测定的步骤 </w:t>
      </w:r>
    </w:p>
    <w:p w14:paraId="49552900">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3</w:t>
      </w:r>
      <w:r>
        <w:rPr>
          <w:rFonts w:ascii="Times New Roman" w:hAnsi="Times New Roman" w:cs="Times New Roman" w:eastAsiaTheme="minorEastAsia"/>
          <w:bCs/>
          <w:kern w:val="2"/>
          <w:sz w:val="24"/>
          <w:szCs w:val="24"/>
        </w:rPr>
        <w:t>.4脂肪含量的结果判断</w:t>
      </w:r>
    </w:p>
    <w:p w14:paraId="6312AF1A">
      <w:pPr>
        <w:widowControl w:val="0"/>
        <w:adjustRightInd/>
        <w:snapToGrid/>
        <w:spacing w:after="0" w:line="360" w:lineRule="auto"/>
        <w:ind w:firstLine="482" w:firstLineChars="200"/>
        <w:jc w:val="both"/>
        <w:rPr>
          <w:rFonts w:ascii="Times New Roman" w:hAnsi="Times New Roman" w:cs="Times New Roman" w:eastAsiaTheme="minorEastAsia"/>
          <w:b/>
          <w:bCs/>
          <w:kern w:val="2"/>
          <w:sz w:val="24"/>
          <w:szCs w:val="24"/>
        </w:rPr>
      </w:pPr>
      <w:r>
        <w:rPr>
          <w:rFonts w:ascii="Times New Roman" w:hAnsi="Times New Roman" w:cs="Times New Roman" w:eastAsiaTheme="minorEastAsia"/>
          <w:b/>
          <w:bCs/>
          <w:kern w:val="2"/>
          <w:sz w:val="24"/>
          <w:szCs w:val="24"/>
        </w:rPr>
        <w:t>1</w:t>
      </w:r>
      <w:r>
        <w:rPr>
          <w:rFonts w:hint="eastAsia" w:ascii="Times New Roman" w:hAnsi="Times New Roman" w:cs="Times New Roman" w:eastAsiaTheme="minorEastAsia"/>
          <w:b/>
          <w:bCs/>
          <w:kern w:val="2"/>
          <w:sz w:val="24"/>
          <w:szCs w:val="24"/>
          <w:lang w:val="en-US" w:eastAsia="zh-CN"/>
        </w:rPr>
        <w:t>4</w:t>
      </w:r>
      <w:r>
        <w:rPr>
          <w:rFonts w:ascii="Times New Roman" w:hAnsi="Times New Roman" w:cs="Times New Roman" w:eastAsiaTheme="minorEastAsia"/>
          <w:b/>
          <w:bCs/>
          <w:kern w:val="2"/>
          <w:sz w:val="24"/>
          <w:szCs w:val="24"/>
        </w:rPr>
        <w:t xml:space="preserve"> 糖的测定</w:t>
      </w:r>
    </w:p>
    <w:p w14:paraId="5ED46AEF">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4</w:t>
      </w:r>
      <w:r>
        <w:rPr>
          <w:rFonts w:ascii="Times New Roman" w:hAnsi="Times New Roman" w:cs="Times New Roman" w:eastAsiaTheme="minorEastAsia"/>
          <w:bCs/>
          <w:kern w:val="2"/>
          <w:sz w:val="24"/>
          <w:szCs w:val="24"/>
        </w:rPr>
        <w:t>.1 糖测定常用方法</w:t>
      </w:r>
    </w:p>
    <w:p w14:paraId="161741A5">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4</w:t>
      </w:r>
      <w:r>
        <w:rPr>
          <w:rFonts w:ascii="Times New Roman" w:hAnsi="Times New Roman" w:cs="Times New Roman" w:eastAsiaTheme="minorEastAsia"/>
          <w:bCs/>
          <w:kern w:val="2"/>
          <w:sz w:val="24"/>
          <w:szCs w:val="24"/>
        </w:rPr>
        <w:t>.1.1 糖测定常用方法和适用范围</w:t>
      </w:r>
    </w:p>
    <w:p w14:paraId="153E2339">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4</w:t>
      </w:r>
      <w:r>
        <w:rPr>
          <w:rFonts w:ascii="Times New Roman" w:hAnsi="Times New Roman" w:cs="Times New Roman" w:eastAsiaTheme="minorEastAsia"/>
          <w:bCs/>
          <w:kern w:val="2"/>
          <w:sz w:val="24"/>
          <w:szCs w:val="24"/>
        </w:rPr>
        <w:t>.1.2糖测定方法的原理</w:t>
      </w:r>
    </w:p>
    <w:p w14:paraId="0BD9F1BD">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4</w:t>
      </w:r>
      <w:r>
        <w:rPr>
          <w:rFonts w:ascii="Times New Roman" w:hAnsi="Times New Roman" w:cs="Times New Roman" w:eastAsiaTheme="minorEastAsia"/>
          <w:bCs/>
          <w:kern w:val="2"/>
          <w:sz w:val="24"/>
          <w:szCs w:val="24"/>
        </w:rPr>
        <w:t>.2 糖测定的准备</w:t>
      </w:r>
    </w:p>
    <w:p w14:paraId="431BA3B2">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4</w:t>
      </w:r>
      <w:r>
        <w:rPr>
          <w:rFonts w:ascii="Times New Roman" w:hAnsi="Times New Roman" w:cs="Times New Roman" w:eastAsiaTheme="minorEastAsia"/>
          <w:bCs/>
          <w:kern w:val="2"/>
          <w:sz w:val="24"/>
          <w:szCs w:val="24"/>
        </w:rPr>
        <w:t>.2.1 糖测定的试剂选择</w:t>
      </w:r>
    </w:p>
    <w:p w14:paraId="1663BACF">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4</w:t>
      </w:r>
      <w:r>
        <w:rPr>
          <w:rFonts w:ascii="Times New Roman" w:hAnsi="Times New Roman" w:cs="Times New Roman" w:eastAsiaTheme="minorEastAsia"/>
          <w:bCs/>
          <w:kern w:val="2"/>
          <w:sz w:val="24"/>
          <w:szCs w:val="24"/>
        </w:rPr>
        <w:t>.2.2 糖测定的仪器选择</w:t>
      </w:r>
    </w:p>
    <w:p w14:paraId="0B025432">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4</w:t>
      </w:r>
      <w:r>
        <w:rPr>
          <w:rFonts w:ascii="Times New Roman" w:hAnsi="Times New Roman" w:cs="Times New Roman" w:eastAsiaTheme="minorEastAsia"/>
          <w:bCs/>
          <w:kern w:val="2"/>
          <w:sz w:val="24"/>
          <w:szCs w:val="24"/>
        </w:rPr>
        <w:t>.3 糖测定的步骤</w:t>
      </w:r>
    </w:p>
    <w:p w14:paraId="7364B018">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4</w:t>
      </w:r>
      <w:r>
        <w:rPr>
          <w:rFonts w:ascii="Times New Roman" w:hAnsi="Times New Roman" w:cs="Times New Roman" w:eastAsiaTheme="minorEastAsia"/>
          <w:bCs/>
          <w:kern w:val="2"/>
          <w:sz w:val="24"/>
          <w:szCs w:val="24"/>
        </w:rPr>
        <w:t>.3.1 还原糖测定的步骤</w:t>
      </w:r>
    </w:p>
    <w:p w14:paraId="78C46FD1">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4</w:t>
      </w:r>
      <w:r>
        <w:rPr>
          <w:rFonts w:ascii="Times New Roman" w:hAnsi="Times New Roman" w:cs="Times New Roman" w:eastAsiaTheme="minorEastAsia"/>
          <w:bCs/>
          <w:kern w:val="2"/>
          <w:sz w:val="24"/>
          <w:szCs w:val="24"/>
        </w:rPr>
        <w:t>.3.2 总糖测定的步骤</w:t>
      </w:r>
    </w:p>
    <w:p w14:paraId="2302A2BC">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4</w:t>
      </w:r>
      <w:r>
        <w:rPr>
          <w:rFonts w:ascii="Times New Roman" w:hAnsi="Times New Roman" w:cs="Times New Roman" w:eastAsiaTheme="minorEastAsia"/>
          <w:bCs/>
          <w:kern w:val="2"/>
          <w:sz w:val="24"/>
          <w:szCs w:val="24"/>
        </w:rPr>
        <w:t>.4糖含量的结果判断</w:t>
      </w:r>
    </w:p>
    <w:p w14:paraId="3729B8E0">
      <w:pPr>
        <w:widowControl w:val="0"/>
        <w:adjustRightInd/>
        <w:snapToGrid/>
        <w:spacing w:after="0" w:line="360" w:lineRule="auto"/>
        <w:ind w:firstLine="482" w:firstLineChars="200"/>
        <w:jc w:val="both"/>
        <w:rPr>
          <w:rFonts w:ascii="Times New Roman" w:hAnsi="Times New Roman" w:cs="Times New Roman" w:eastAsiaTheme="minorEastAsia"/>
          <w:b/>
          <w:bCs/>
          <w:kern w:val="2"/>
          <w:sz w:val="24"/>
          <w:szCs w:val="24"/>
        </w:rPr>
      </w:pPr>
      <w:r>
        <w:rPr>
          <w:rFonts w:ascii="Times New Roman" w:hAnsi="Times New Roman" w:cs="Times New Roman" w:eastAsiaTheme="minorEastAsia"/>
          <w:b/>
          <w:bCs/>
          <w:kern w:val="2"/>
          <w:sz w:val="24"/>
          <w:szCs w:val="24"/>
        </w:rPr>
        <w:t>1</w:t>
      </w:r>
      <w:r>
        <w:rPr>
          <w:rFonts w:hint="eastAsia" w:ascii="Times New Roman" w:hAnsi="Times New Roman" w:cs="Times New Roman" w:eastAsiaTheme="minorEastAsia"/>
          <w:b/>
          <w:bCs/>
          <w:kern w:val="2"/>
          <w:sz w:val="24"/>
          <w:szCs w:val="24"/>
          <w:lang w:val="en-US" w:eastAsia="zh-CN"/>
        </w:rPr>
        <w:t>5</w:t>
      </w:r>
      <w:r>
        <w:rPr>
          <w:rFonts w:ascii="Times New Roman" w:hAnsi="Times New Roman" w:cs="Times New Roman" w:eastAsiaTheme="minorEastAsia"/>
          <w:b/>
          <w:bCs/>
          <w:kern w:val="2"/>
          <w:sz w:val="24"/>
          <w:szCs w:val="24"/>
        </w:rPr>
        <w:t xml:space="preserve"> 蛋白质测定</w:t>
      </w:r>
    </w:p>
    <w:p w14:paraId="56A63427">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5</w:t>
      </w:r>
      <w:r>
        <w:rPr>
          <w:rFonts w:ascii="Times New Roman" w:hAnsi="Times New Roman" w:cs="Times New Roman" w:eastAsiaTheme="minorEastAsia"/>
          <w:bCs/>
          <w:kern w:val="2"/>
          <w:sz w:val="24"/>
          <w:szCs w:val="24"/>
        </w:rPr>
        <w:t>.1 蛋白质测定常用方法</w:t>
      </w:r>
    </w:p>
    <w:p w14:paraId="412BA0A6">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5</w:t>
      </w:r>
      <w:r>
        <w:rPr>
          <w:rFonts w:ascii="Times New Roman" w:hAnsi="Times New Roman" w:cs="Times New Roman" w:eastAsiaTheme="minorEastAsia"/>
          <w:bCs/>
          <w:kern w:val="2"/>
          <w:sz w:val="24"/>
          <w:szCs w:val="24"/>
        </w:rPr>
        <w:t>.1.1 蛋白质测定常用方法和适用范围</w:t>
      </w:r>
    </w:p>
    <w:p w14:paraId="41BECA09">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5</w:t>
      </w:r>
      <w:r>
        <w:rPr>
          <w:rFonts w:ascii="Times New Roman" w:hAnsi="Times New Roman" w:cs="Times New Roman" w:eastAsiaTheme="minorEastAsia"/>
          <w:bCs/>
          <w:kern w:val="2"/>
          <w:sz w:val="24"/>
          <w:szCs w:val="24"/>
        </w:rPr>
        <w:t>.1.2 蛋白质测定方法的原理</w:t>
      </w:r>
    </w:p>
    <w:p w14:paraId="4F598AEB">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5</w:t>
      </w:r>
      <w:r>
        <w:rPr>
          <w:rFonts w:ascii="Times New Roman" w:hAnsi="Times New Roman" w:cs="Times New Roman" w:eastAsiaTheme="minorEastAsia"/>
          <w:bCs/>
          <w:kern w:val="2"/>
          <w:sz w:val="24"/>
          <w:szCs w:val="24"/>
        </w:rPr>
        <w:t>.2 蛋白质测定的准备</w:t>
      </w:r>
    </w:p>
    <w:p w14:paraId="3933366F">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5</w:t>
      </w:r>
      <w:r>
        <w:rPr>
          <w:rFonts w:ascii="Times New Roman" w:hAnsi="Times New Roman" w:cs="Times New Roman" w:eastAsiaTheme="minorEastAsia"/>
          <w:bCs/>
          <w:kern w:val="2"/>
          <w:sz w:val="24"/>
          <w:szCs w:val="24"/>
        </w:rPr>
        <w:t>.2.1 蛋白质测定的试剂选择</w:t>
      </w:r>
    </w:p>
    <w:p w14:paraId="7CBC0ABA">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5</w:t>
      </w:r>
      <w:r>
        <w:rPr>
          <w:rFonts w:ascii="Times New Roman" w:hAnsi="Times New Roman" w:cs="Times New Roman" w:eastAsiaTheme="minorEastAsia"/>
          <w:bCs/>
          <w:kern w:val="2"/>
          <w:sz w:val="24"/>
          <w:szCs w:val="24"/>
        </w:rPr>
        <w:t>.2.2 蛋白质测定的仪器选择</w:t>
      </w:r>
    </w:p>
    <w:p w14:paraId="54F46992">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5</w:t>
      </w:r>
      <w:r>
        <w:rPr>
          <w:rFonts w:ascii="Times New Roman" w:hAnsi="Times New Roman" w:cs="Times New Roman" w:eastAsiaTheme="minorEastAsia"/>
          <w:bCs/>
          <w:kern w:val="2"/>
          <w:sz w:val="24"/>
          <w:szCs w:val="24"/>
        </w:rPr>
        <w:t>.3 蛋白质测定的步骤</w:t>
      </w:r>
    </w:p>
    <w:p w14:paraId="3F82E460">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5</w:t>
      </w:r>
      <w:r>
        <w:rPr>
          <w:rFonts w:ascii="Times New Roman" w:hAnsi="Times New Roman" w:cs="Times New Roman" w:eastAsiaTheme="minorEastAsia"/>
          <w:bCs/>
          <w:kern w:val="2"/>
          <w:sz w:val="24"/>
          <w:szCs w:val="24"/>
        </w:rPr>
        <w:t>.3.1 凯氏定氮法蛋白质测定的步骤</w:t>
      </w:r>
    </w:p>
    <w:p w14:paraId="1B8004A7">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5</w:t>
      </w:r>
      <w:r>
        <w:rPr>
          <w:rFonts w:ascii="Times New Roman" w:hAnsi="Times New Roman" w:cs="Times New Roman" w:eastAsiaTheme="minorEastAsia"/>
          <w:bCs/>
          <w:kern w:val="2"/>
          <w:sz w:val="24"/>
          <w:szCs w:val="24"/>
        </w:rPr>
        <w:t>.3.2 自动凯氏定氮法蛋白质测定的步骤</w:t>
      </w:r>
    </w:p>
    <w:p w14:paraId="193F42FA">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ascii="Times New Roman" w:hAnsi="Times New Roman" w:cs="Times New Roman" w:eastAsiaTheme="minorEastAsia"/>
          <w:bCs/>
          <w:kern w:val="2"/>
          <w:sz w:val="24"/>
          <w:szCs w:val="24"/>
        </w:rPr>
        <w:t>1</w:t>
      </w:r>
      <w:r>
        <w:rPr>
          <w:rFonts w:hint="eastAsia" w:ascii="Times New Roman" w:hAnsi="Times New Roman" w:cs="Times New Roman" w:eastAsiaTheme="minorEastAsia"/>
          <w:bCs/>
          <w:kern w:val="2"/>
          <w:sz w:val="24"/>
          <w:szCs w:val="24"/>
          <w:lang w:val="en-US" w:eastAsia="zh-CN"/>
        </w:rPr>
        <w:t>5</w:t>
      </w:r>
      <w:r>
        <w:rPr>
          <w:rFonts w:ascii="Times New Roman" w:hAnsi="Times New Roman" w:cs="Times New Roman" w:eastAsiaTheme="minorEastAsia"/>
          <w:bCs/>
          <w:kern w:val="2"/>
          <w:sz w:val="24"/>
          <w:szCs w:val="24"/>
        </w:rPr>
        <w:t>.4蛋白质含量的结果判断</w:t>
      </w:r>
    </w:p>
    <w:p w14:paraId="2AF92F2A">
      <w:pPr>
        <w:widowControl w:val="0"/>
        <w:adjustRightInd/>
        <w:snapToGrid/>
        <w:spacing w:after="0" w:line="360" w:lineRule="auto"/>
        <w:ind w:firstLine="482" w:firstLineChars="200"/>
        <w:jc w:val="both"/>
        <w:rPr>
          <w:rFonts w:ascii="Times New Roman" w:hAnsi="Times New Roman" w:cs="Times New Roman" w:eastAsiaTheme="minorEastAsia"/>
          <w:b/>
          <w:bCs/>
          <w:kern w:val="2"/>
          <w:sz w:val="24"/>
          <w:szCs w:val="24"/>
        </w:rPr>
      </w:pPr>
      <w:r>
        <w:rPr>
          <w:rFonts w:hint="eastAsia" w:ascii="Times New Roman" w:hAnsi="Times New Roman" w:cs="Times New Roman" w:eastAsiaTheme="minorEastAsia"/>
          <w:b/>
          <w:bCs/>
          <w:kern w:val="2"/>
          <w:sz w:val="24"/>
          <w:szCs w:val="24"/>
          <w:lang w:val="en-US" w:eastAsia="zh-CN"/>
        </w:rPr>
        <w:t>16</w:t>
      </w:r>
      <w:r>
        <w:rPr>
          <w:rFonts w:ascii="Times New Roman" w:hAnsi="Times New Roman" w:cs="Times New Roman" w:eastAsiaTheme="minorEastAsia"/>
          <w:b/>
          <w:bCs/>
          <w:kern w:val="2"/>
          <w:sz w:val="24"/>
          <w:szCs w:val="24"/>
        </w:rPr>
        <w:t xml:space="preserve"> 酸价测定</w:t>
      </w:r>
    </w:p>
    <w:p w14:paraId="34931688">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16</w:t>
      </w:r>
      <w:r>
        <w:rPr>
          <w:rFonts w:ascii="Times New Roman" w:hAnsi="Times New Roman" w:cs="Times New Roman" w:eastAsiaTheme="minorEastAsia"/>
          <w:bCs/>
          <w:kern w:val="2"/>
          <w:sz w:val="24"/>
          <w:szCs w:val="24"/>
        </w:rPr>
        <w:t>.1 酸价测定常用方法</w:t>
      </w:r>
    </w:p>
    <w:p w14:paraId="09D422B2">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16</w:t>
      </w:r>
      <w:r>
        <w:rPr>
          <w:rFonts w:ascii="Times New Roman" w:hAnsi="Times New Roman" w:cs="Times New Roman" w:eastAsiaTheme="minorEastAsia"/>
          <w:bCs/>
          <w:kern w:val="2"/>
          <w:sz w:val="24"/>
          <w:szCs w:val="24"/>
        </w:rPr>
        <w:t>.1.1 酸价测定常用方法和适用范围</w:t>
      </w:r>
    </w:p>
    <w:p w14:paraId="2A43BE7D">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16</w:t>
      </w:r>
      <w:r>
        <w:rPr>
          <w:rFonts w:ascii="Times New Roman" w:hAnsi="Times New Roman" w:cs="Times New Roman" w:eastAsiaTheme="minorEastAsia"/>
          <w:bCs/>
          <w:kern w:val="2"/>
          <w:sz w:val="24"/>
          <w:szCs w:val="24"/>
        </w:rPr>
        <w:t>.1.2酸价测定方法的原理</w:t>
      </w:r>
    </w:p>
    <w:p w14:paraId="03EF8141">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16</w:t>
      </w:r>
      <w:r>
        <w:rPr>
          <w:rFonts w:ascii="Times New Roman" w:hAnsi="Times New Roman" w:cs="Times New Roman" w:eastAsiaTheme="minorEastAsia"/>
          <w:bCs/>
          <w:kern w:val="2"/>
          <w:sz w:val="24"/>
          <w:szCs w:val="24"/>
        </w:rPr>
        <w:t>.2 酸价测定的准备</w:t>
      </w:r>
    </w:p>
    <w:p w14:paraId="163E44CD">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16</w:t>
      </w:r>
      <w:r>
        <w:rPr>
          <w:rFonts w:ascii="Times New Roman" w:hAnsi="Times New Roman" w:cs="Times New Roman" w:eastAsiaTheme="minorEastAsia"/>
          <w:bCs/>
          <w:kern w:val="2"/>
          <w:sz w:val="24"/>
          <w:szCs w:val="24"/>
        </w:rPr>
        <w:t>.2.1 酸价测定的试剂选择</w:t>
      </w:r>
    </w:p>
    <w:p w14:paraId="6DE22A10">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16</w:t>
      </w:r>
      <w:r>
        <w:rPr>
          <w:rFonts w:ascii="Times New Roman" w:hAnsi="Times New Roman" w:cs="Times New Roman" w:eastAsiaTheme="minorEastAsia"/>
          <w:bCs/>
          <w:kern w:val="2"/>
          <w:sz w:val="24"/>
          <w:szCs w:val="24"/>
        </w:rPr>
        <w:t>.2.2 酸价测定的仪器选择</w:t>
      </w:r>
    </w:p>
    <w:p w14:paraId="18748D7E">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16</w:t>
      </w:r>
      <w:r>
        <w:rPr>
          <w:rFonts w:ascii="Times New Roman" w:hAnsi="Times New Roman" w:cs="Times New Roman" w:eastAsiaTheme="minorEastAsia"/>
          <w:bCs/>
          <w:kern w:val="2"/>
          <w:sz w:val="24"/>
          <w:szCs w:val="24"/>
        </w:rPr>
        <w:t>.3 酸价测定的步骤</w:t>
      </w:r>
    </w:p>
    <w:p w14:paraId="4A64E0FB">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16</w:t>
      </w:r>
      <w:r>
        <w:rPr>
          <w:rFonts w:ascii="Times New Roman" w:hAnsi="Times New Roman" w:cs="Times New Roman" w:eastAsiaTheme="minorEastAsia"/>
          <w:bCs/>
          <w:kern w:val="2"/>
          <w:sz w:val="24"/>
          <w:szCs w:val="24"/>
        </w:rPr>
        <w:t>.3.1 冷溶剂指示剂滴定法酸价测定的步骤</w:t>
      </w:r>
    </w:p>
    <w:p w14:paraId="1B17DE98">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16</w:t>
      </w:r>
      <w:r>
        <w:rPr>
          <w:rFonts w:ascii="Times New Roman" w:hAnsi="Times New Roman" w:cs="Times New Roman" w:eastAsiaTheme="minorEastAsia"/>
          <w:bCs/>
          <w:kern w:val="2"/>
          <w:sz w:val="24"/>
          <w:szCs w:val="24"/>
        </w:rPr>
        <w:t>.3.2 热乙醇指示剂滴定法酸价测定的步骤</w:t>
      </w:r>
    </w:p>
    <w:p w14:paraId="7DC325C9">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16</w:t>
      </w:r>
      <w:r>
        <w:rPr>
          <w:rFonts w:ascii="Times New Roman" w:hAnsi="Times New Roman" w:cs="Times New Roman" w:eastAsiaTheme="minorEastAsia"/>
          <w:bCs/>
          <w:kern w:val="2"/>
          <w:sz w:val="24"/>
          <w:szCs w:val="24"/>
        </w:rPr>
        <w:t>.4酸价含量的结果判断</w:t>
      </w:r>
    </w:p>
    <w:p w14:paraId="428D958B">
      <w:pPr>
        <w:widowControl w:val="0"/>
        <w:adjustRightInd/>
        <w:snapToGrid/>
        <w:spacing w:after="0" w:line="360" w:lineRule="auto"/>
        <w:ind w:firstLine="482" w:firstLineChars="200"/>
        <w:jc w:val="both"/>
        <w:rPr>
          <w:rFonts w:ascii="Times New Roman" w:hAnsi="Times New Roman" w:cs="Times New Roman" w:eastAsiaTheme="minorEastAsia"/>
          <w:b/>
          <w:bCs/>
          <w:kern w:val="2"/>
          <w:sz w:val="24"/>
          <w:szCs w:val="24"/>
        </w:rPr>
      </w:pPr>
      <w:r>
        <w:rPr>
          <w:rFonts w:hint="eastAsia" w:ascii="Times New Roman" w:hAnsi="Times New Roman" w:cs="Times New Roman" w:eastAsiaTheme="minorEastAsia"/>
          <w:b/>
          <w:bCs/>
          <w:kern w:val="2"/>
          <w:sz w:val="24"/>
          <w:szCs w:val="24"/>
          <w:lang w:val="en-US" w:eastAsia="zh-CN"/>
        </w:rPr>
        <w:t>17</w:t>
      </w:r>
      <w:r>
        <w:rPr>
          <w:rFonts w:ascii="Times New Roman" w:hAnsi="Times New Roman" w:cs="Times New Roman" w:eastAsiaTheme="minorEastAsia"/>
          <w:b/>
          <w:bCs/>
          <w:kern w:val="2"/>
          <w:sz w:val="24"/>
          <w:szCs w:val="24"/>
        </w:rPr>
        <w:t xml:space="preserve"> 过氧化值测定</w:t>
      </w:r>
    </w:p>
    <w:p w14:paraId="4CAEC359">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17</w:t>
      </w:r>
      <w:r>
        <w:rPr>
          <w:rFonts w:ascii="Times New Roman" w:hAnsi="Times New Roman" w:cs="Times New Roman" w:eastAsiaTheme="minorEastAsia"/>
          <w:bCs/>
          <w:kern w:val="2"/>
          <w:sz w:val="24"/>
          <w:szCs w:val="24"/>
        </w:rPr>
        <w:t>.1 过氧化值测定常用方法</w:t>
      </w:r>
    </w:p>
    <w:p w14:paraId="6788FC9B">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17</w:t>
      </w:r>
      <w:r>
        <w:rPr>
          <w:rFonts w:ascii="Times New Roman" w:hAnsi="Times New Roman" w:cs="Times New Roman" w:eastAsiaTheme="minorEastAsia"/>
          <w:bCs/>
          <w:kern w:val="2"/>
          <w:sz w:val="24"/>
          <w:szCs w:val="24"/>
        </w:rPr>
        <w:t>.1.1 过氧化值测定常用方法和适用范围</w:t>
      </w:r>
    </w:p>
    <w:p w14:paraId="0D4FA6E5">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17</w:t>
      </w:r>
      <w:r>
        <w:rPr>
          <w:rFonts w:ascii="Times New Roman" w:hAnsi="Times New Roman" w:cs="Times New Roman" w:eastAsiaTheme="minorEastAsia"/>
          <w:bCs/>
          <w:kern w:val="2"/>
          <w:sz w:val="24"/>
          <w:szCs w:val="24"/>
        </w:rPr>
        <w:t>.1.2过氧化值测定方法的原理</w:t>
      </w:r>
    </w:p>
    <w:p w14:paraId="43C257D6">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17</w:t>
      </w:r>
      <w:r>
        <w:rPr>
          <w:rFonts w:ascii="Times New Roman" w:hAnsi="Times New Roman" w:cs="Times New Roman" w:eastAsiaTheme="minorEastAsia"/>
          <w:bCs/>
          <w:kern w:val="2"/>
          <w:sz w:val="24"/>
          <w:szCs w:val="24"/>
        </w:rPr>
        <w:t>.2 过氧化值测定的准备</w:t>
      </w:r>
    </w:p>
    <w:p w14:paraId="11B092DF">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17</w:t>
      </w:r>
      <w:r>
        <w:rPr>
          <w:rFonts w:ascii="Times New Roman" w:hAnsi="Times New Roman" w:cs="Times New Roman" w:eastAsiaTheme="minorEastAsia"/>
          <w:bCs/>
          <w:kern w:val="2"/>
          <w:sz w:val="24"/>
          <w:szCs w:val="24"/>
        </w:rPr>
        <w:t>.2.1 过氧化值测定的试剂选择</w:t>
      </w:r>
    </w:p>
    <w:p w14:paraId="3DFF3E97">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17</w:t>
      </w:r>
      <w:r>
        <w:rPr>
          <w:rFonts w:ascii="Times New Roman" w:hAnsi="Times New Roman" w:cs="Times New Roman" w:eastAsiaTheme="minorEastAsia"/>
          <w:bCs/>
          <w:kern w:val="2"/>
          <w:sz w:val="24"/>
          <w:szCs w:val="24"/>
        </w:rPr>
        <w:t>.2.2 过氧化值测定的仪器选择</w:t>
      </w:r>
    </w:p>
    <w:p w14:paraId="04110EEF">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17</w:t>
      </w:r>
      <w:r>
        <w:rPr>
          <w:rFonts w:ascii="Times New Roman" w:hAnsi="Times New Roman" w:cs="Times New Roman" w:eastAsiaTheme="minorEastAsia"/>
          <w:bCs/>
          <w:kern w:val="2"/>
          <w:sz w:val="24"/>
          <w:szCs w:val="24"/>
        </w:rPr>
        <w:t>.3滴定法过氧化值测定的步骤</w:t>
      </w:r>
    </w:p>
    <w:p w14:paraId="1D76A5C4">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17</w:t>
      </w:r>
      <w:r>
        <w:rPr>
          <w:rFonts w:ascii="Times New Roman" w:hAnsi="Times New Roman" w:cs="Times New Roman" w:eastAsiaTheme="minorEastAsia"/>
          <w:bCs/>
          <w:kern w:val="2"/>
          <w:sz w:val="24"/>
          <w:szCs w:val="24"/>
        </w:rPr>
        <w:t>.4过氧化值含量的结果判断</w:t>
      </w:r>
    </w:p>
    <w:p w14:paraId="6BC219DB">
      <w:pPr>
        <w:widowControl w:val="0"/>
        <w:adjustRightInd/>
        <w:snapToGrid/>
        <w:spacing w:after="0" w:line="360" w:lineRule="auto"/>
        <w:ind w:firstLine="482" w:firstLineChars="200"/>
        <w:jc w:val="both"/>
        <w:rPr>
          <w:rFonts w:ascii="Times New Roman" w:hAnsi="Times New Roman" w:cs="Times New Roman" w:eastAsiaTheme="minorEastAsia"/>
          <w:b/>
          <w:bCs/>
          <w:kern w:val="2"/>
          <w:sz w:val="24"/>
          <w:szCs w:val="24"/>
        </w:rPr>
      </w:pPr>
      <w:r>
        <w:rPr>
          <w:rFonts w:hint="eastAsia" w:ascii="Times New Roman" w:hAnsi="Times New Roman" w:cs="Times New Roman" w:eastAsiaTheme="minorEastAsia"/>
          <w:b/>
          <w:bCs/>
          <w:kern w:val="2"/>
          <w:sz w:val="24"/>
          <w:szCs w:val="24"/>
          <w:lang w:val="en-US" w:eastAsia="zh-CN"/>
        </w:rPr>
        <w:t>18</w:t>
      </w:r>
      <w:r>
        <w:rPr>
          <w:rFonts w:ascii="Times New Roman" w:hAnsi="Times New Roman" w:cs="Times New Roman" w:eastAsiaTheme="minorEastAsia"/>
          <w:b/>
          <w:bCs/>
          <w:kern w:val="2"/>
          <w:sz w:val="24"/>
          <w:szCs w:val="24"/>
        </w:rPr>
        <w:t xml:space="preserve"> 亚硝酸盐测定</w:t>
      </w:r>
    </w:p>
    <w:p w14:paraId="1066D59B">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18</w:t>
      </w:r>
      <w:r>
        <w:rPr>
          <w:rFonts w:ascii="Times New Roman" w:hAnsi="Times New Roman" w:cs="Times New Roman" w:eastAsiaTheme="minorEastAsia"/>
          <w:bCs/>
          <w:kern w:val="2"/>
          <w:sz w:val="24"/>
          <w:szCs w:val="24"/>
        </w:rPr>
        <w:t>.1 亚硝酸盐测定常用方法</w:t>
      </w:r>
    </w:p>
    <w:p w14:paraId="541D5647">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18</w:t>
      </w:r>
      <w:r>
        <w:rPr>
          <w:rFonts w:ascii="Times New Roman" w:hAnsi="Times New Roman" w:cs="Times New Roman" w:eastAsiaTheme="minorEastAsia"/>
          <w:bCs/>
          <w:kern w:val="2"/>
          <w:sz w:val="24"/>
          <w:szCs w:val="24"/>
        </w:rPr>
        <w:t>.1.1 亚硝酸盐测定常用方法和适用范围</w:t>
      </w:r>
    </w:p>
    <w:p w14:paraId="0483B9C3">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18</w:t>
      </w:r>
      <w:r>
        <w:rPr>
          <w:rFonts w:ascii="Times New Roman" w:hAnsi="Times New Roman" w:cs="Times New Roman" w:eastAsiaTheme="minorEastAsia"/>
          <w:bCs/>
          <w:kern w:val="2"/>
          <w:sz w:val="24"/>
          <w:szCs w:val="24"/>
        </w:rPr>
        <w:t>.1.2亚硝酸盐测定方法的原理</w:t>
      </w:r>
    </w:p>
    <w:p w14:paraId="4C7A2AC2">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18</w:t>
      </w:r>
      <w:r>
        <w:rPr>
          <w:rFonts w:ascii="Times New Roman" w:hAnsi="Times New Roman" w:cs="Times New Roman" w:eastAsiaTheme="minorEastAsia"/>
          <w:bCs/>
          <w:kern w:val="2"/>
          <w:sz w:val="24"/>
          <w:szCs w:val="24"/>
        </w:rPr>
        <w:t>.2 亚硝酸盐测定的准备</w:t>
      </w:r>
    </w:p>
    <w:p w14:paraId="05C721CE">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18</w:t>
      </w:r>
      <w:r>
        <w:rPr>
          <w:rFonts w:ascii="Times New Roman" w:hAnsi="Times New Roman" w:cs="Times New Roman" w:eastAsiaTheme="minorEastAsia"/>
          <w:bCs/>
          <w:kern w:val="2"/>
          <w:sz w:val="24"/>
          <w:szCs w:val="24"/>
        </w:rPr>
        <w:t>.2.1 亚硝酸盐测定的试剂选择</w:t>
      </w:r>
    </w:p>
    <w:p w14:paraId="4368A0B2">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18</w:t>
      </w:r>
      <w:r>
        <w:rPr>
          <w:rFonts w:ascii="Times New Roman" w:hAnsi="Times New Roman" w:cs="Times New Roman" w:eastAsiaTheme="minorEastAsia"/>
          <w:bCs/>
          <w:kern w:val="2"/>
          <w:sz w:val="24"/>
          <w:szCs w:val="24"/>
        </w:rPr>
        <w:t>.2.2 亚硝酸盐测定的仪器选择</w:t>
      </w:r>
    </w:p>
    <w:p w14:paraId="1FE9A3BC">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18</w:t>
      </w:r>
      <w:r>
        <w:rPr>
          <w:rFonts w:ascii="Times New Roman" w:hAnsi="Times New Roman" w:cs="Times New Roman" w:eastAsiaTheme="minorEastAsia"/>
          <w:bCs/>
          <w:kern w:val="2"/>
          <w:sz w:val="24"/>
          <w:szCs w:val="24"/>
        </w:rPr>
        <w:t>.3 分光光度法亚硝酸盐测定的步骤</w:t>
      </w:r>
    </w:p>
    <w:p w14:paraId="613B1952">
      <w:pPr>
        <w:widowControl w:val="0"/>
        <w:adjustRightInd/>
        <w:snapToGrid/>
        <w:spacing w:after="0" w:line="360" w:lineRule="auto"/>
        <w:ind w:firstLine="480" w:firstLineChars="200"/>
        <w:jc w:val="both"/>
        <w:rPr>
          <w:rFonts w:ascii="Times New Roman" w:hAnsi="Times New Roman" w:cs="Times New Roman" w:eastAsiaTheme="minorEastAsia"/>
          <w:bCs/>
          <w:kern w:val="2"/>
          <w:sz w:val="24"/>
          <w:szCs w:val="24"/>
        </w:rPr>
      </w:pPr>
      <w:r>
        <w:rPr>
          <w:rFonts w:hint="eastAsia" w:ascii="Times New Roman" w:hAnsi="Times New Roman" w:cs="Times New Roman" w:eastAsiaTheme="minorEastAsia"/>
          <w:bCs/>
          <w:kern w:val="2"/>
          <w:sz w:val="24"/>
          <w:szCs w:val="24"/>
          <w:lang w:val="en-US" w:eastAsia="zh-CN"/>
        </w:rPr>
        <w:t>18</w:t>
      </w:r>
      <w:r>
        <w:rPr>
          <w:rFonts w:ascii="Times New Roman" w:hAnsi="Times New Roman" w:cs="Times New Roman" w:eastAsiaTheme="minorEastAsia"/>
          <w:bCs/>
          <w:kern w:val="2"/>
          <w:sz w:val="24"/>
          <w:szCs w:val="24"/>
        </w:rPr>
        <w:t>.4 亚硝酸盐含量的结果判断</w:t>
      </w:r>
    </w:p>
    <w:p w14:paraId="33473735">
      <w:pPr>
        <w:widowControl w:val="0"/>
        <w:adjustRightInd/>
        <w:snapToGrid/>
        <w:spacing w:after="0" w:line="360" w:lineRule="auto"/>
        <w:ind w:left="480"/>
        <w:jc w:val="both"/>
        <w:rPr>
          <w:rFonts w:ascii="Times New Roman" w:hAnsi="Times New Roman" w:eastAsia="宋体" w:cs="Times New Roman"/>
          <w:b/>
          <w:bCs/>
          <w:kern w:val="2"/>
          <w:sz w:val="24"/>
          <w:szCs w:val="24"/>
        </w:rPr>
      </w:pPr>
      <w:r>
        <w:rPr>
          <w:rFonts w:hint="eastAsia" w:ascii="Times New Roman" w:hAnsi="Times New Roman" w:eastAsia="宋体" w:cs="Times New Roman"/>
          <w:b/>
          <w:bCs/>
          <w:kern w:val="2"/>
          <w:sz w:val="24"/>
          <w:szCs w:val="24"/>
          <w:lang w:val="en-US" w:eastAsia="zh-CN"/>
        </w:rPr>
        <w:t>19</w:t>
      </w:r>
      <w:r>
        <w:rPr>
          <w:rFonts w:ascii="Times New Roman" w:hAnsi="Times New Roman" w:eastAsia="宋体" w:cs="Times New Roman"/>
          <w:b/>
          <w:bCs/>
          <w:kern w:val="2"/>
          <w:sz w:val="24"/>
          <w:szCs w:val="24"/>
        </w:rPr>
        <w:t xml:space="preserve"> 微生物技术的基本要求</w:t>
      </w:r>
    </w:p>
    <w:p w14:paraId="4E1DAC9E">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19</w:t>
      </w:r>
      <w:r>
        <w:rPr>
          <w:rFonts w:ascii="Times New Roman" w:hAnsi="Times New Roman" w:eastAsia="宋体" w:cs="Times New Roman"/>
          <w:bCs/>
          <w:kern w:val="2"/>
          <w:sz w:val="24"/>
          <w:szCs w:val="24"/>
        </w:rPr>
        <w:t>.1微生物的概念与分类</w:t>
      </w:r>
    </w:p>
    <w:p w14:paraId="6374045C">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19</w:t>
      </w:r>
      <w:r>
        <w:rPr>
          <w:rFonts w:ascii="Times New Roman" w:hAnsi="Times New Roman" w:eastAsia="宋体" w:cs="Times New Roman"/>
          <w:bCs/>
          <w:kern w:val="2"/>
          <w:sz w:val="24"/>
          <w:szCs w:val="24"/>
        </w:rPr>
        <w:t>.2微生物的特点与地位</w:t>
      </w:r>
    </w:p>
    <w:p w14:paraId="74D82AE4">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19</w:t>
      </w:r>
      <w:r>
        <w:rPr>
          <w:rFonts w:ascii="Times New Roman" w:hAnsi="Times New Roman" w:eastAsia="宋体" w:cs="Times New Roman"/>
          <w:bCs/>
          <w:kern w:val="2"/>
          <w:sz w:val="24"/>
          <w:szCs w:val="24"/>
        </w:rPr>
        <w:t>.3微生物学的发展史</w:t>
      </w:r>
    </w:p>
    <w:p w14:paraId="23F25521">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19</w:t>
      </w:r>
      <w:r>
        <w:rPr>
          <w:rFonts w:ascii="Times New Roman" w:hAnsi="Times New Roman" w:eastAsia="宋体" w:cs="Times New Roman"/>
          <w:bCs/>
          <w:kern w:val="2"/>
          <w:sz w:val="24"/>
          <w:szCs w:val="24"/>
        </w:rPr>
        <w:t>.4微生物技术的基本要求</w:t>
      </w:r>
    </w:p>
    <w:p w14:paraId="22B8A6D6">
      <w:pPr>
        <w:widowControl w:val="0"/>
        <w:adjustRightInd/>
        <w:snapToGrid/>
        <w:spacing w:after="0" w:line="360" w:lineRule="auto"/>
        <w:ind w:left="480"/>
        <w:jc w:val="both"/>
        <w:rPr>
          <w:rFonts w:ascii="Times New Roman" w:hAnsi="Times New Roman" w:eastAsia="宋体" w:cs="Times New Roman"/>
          <w:b/>
          <w:bCs/>
          <w:kern w:val="2"/>
          <w:sz w:val="24"/>
          <w:szCs w:val="24"/>
        </w:rPr>
      </w:pPr>
      <w:r>
        <w:rPr>
          <w:rFonts w:hint="eastAsia" w:ascii="Times New Roman" w:hAnsi="Times New Roman" w:eastAsia="宋体" w:cs="Times New Roman"/>
          <w:b/>
          <w:bCs/>
          <w:kern w:val="2"/>
          <w:sz w:val="24"/>
          <w:szCs w:val="24"/>
          <w:lang w:val="en-US" w:eastAsia="zh-CN"/>
        </w:rPr>
        <w:t>20</w:t>
      </w:r>
      <w:r>
        <w:rPr>
          <w:rFonts w:ascii="Times New Roman" w:hAnsi="Times New Roman" w:eastAsia="宋体" w:cs="Times New Roman"/>
          <w:b/>
          <w:bCs/>
          <w:kern w:val="2"/>
          <w:sz w:val="24"/>
          <w:szCs w:val="24"/>
        </w:rPr>
        <w:t xml:space="preserve"> 微生物形态观察技术</w:t>
      </w:r>
    </w:p>
    <w:p w14:paraId="20E51D09">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0</w:t>
      </w:r>
      <w:r>
        <w:rPr>
          <w:rFonts w:ascii="Times New Roman" w:hAnsi="Times New Roman" w:eastAsia="宋体" w:cs="Times New Roman"/>
          <w:bCs/>
          <w:kern w:val="2"/>
          <w:sz w:val="24"/>
          <w:szCs w:val="24"/>
        </w:rPr>
        <w:t>.1显微镜的种类及结构</w:t>
      </w:r>
    </w:p>
    <w:p w14:paraId="1097AC14">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0</w:t>
      </w:r>
      <w:r>
        <w:rPr>
          <w:rFonts w:ascii="Times New Roman" w:hAnsi="Times New Roman" w:eastAsia="宋体" w:cs="Times New Roman"/>
          <w:bCs/>
          <w:kern w:val="2"/>
          <w:sz w:val="24"/>
          <w:szCs w:val="24"/>
        </w:rPr>
        <w:t>.2显微操作技术</w:t>
      </w:r>
    </w:p>
    <w:p w14:paraId="25B12B85">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0</w:t>
      </w:r>
      <w:r>
        <w:rPr>
          <w:rFonts w:ascii="Times New Roman" w:hAnsi="Times New Roman" w:eastAsia="宋体" w:cs="Times New Roman"/>
          <w:bCs/>
          <w:kern w:val="2"/>
          <w:sz w:val="24"/>
          <w:szCs w:val="24"/>
        </w:rPr>
        <w:t>.3细菌形态观察技术</w:t>
      </w:r>
    </w:p>
    <w:p w14:paraId="18DF6642">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0</w:t>
      </w:r>
      <w:r>
        <w:rPr>
          <w:rFonts w:ascii="Times New Roman" w:hAnsi="Times New Roman" w:eastAsia="宋体" w:cs="Times New Roman"/>
          <w:bCs/>
          <w:kern w:val="2"/>
          <w:sz w:val="24"/>
          <w:szCs w:val="24"/>
        </w:rPr>
        <w:t>.3.1细菌的形态与大小</w:t>
      </w:r>
    </w:p>
    <w:p w14:paraId="4D62BCC1">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0</w:t>
      </w:r>
      <w:r>
        <w:rPr>
          <w:rFonts w:ascii="Times New Roman" w:hAnsi="Times New Roman" w:eastAsia="宋体" w:cs="Times New Roman"/>
          <w:bCs/>
          <w:kern w:val="2"/>
          <w:sz w:val="24"/>
          <w:szCs w:val="24"/>
        </w:rPr>
        <w:t>.3.2细菌的细胞结构</w:t>
      </w:r>
    </w:p>
    <w:p w14:paraId="5FF01C97">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0</w:t>
      </w:r>
      <w:r>
        <w:rPr>
          <w:rFonts w:ascii="Times New Roman" w:hAnsi="Times New Roman" w:eastAsia="宋体" w:cs="Times New Roman"/>
          <w:bCs/>
          <w:kern w:val="2"/>
          <w:sz w:val="24"/>
          <w:szCs w:val="24"/>
        </w:rPr>
        <w:t>.3.3细菌的形态鉴别</w:t>
      </w:r>
    </w:p>
    <w:p w14:paraId="1985BCF3">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0</w:t>
      </w:r>
      <w:r>
        <w:rPr>
          <w:rFonts w:ascii="Times New Roman" w:hAnsi="Times New Roman" w:eastAsia="宋体" w:cs="Times New Roman"/>
          <w:bCs/>
          <w:kern w:val="2"/>
          <w:sz w:val="24"/>
          <w:szCs w:val="24"/>
        </w:rPr>
        <w:t>.3.4细菌的生长繁殖</w:t>
      </w:r>
    </w:p>
    <w:p w14:paraId="3AAE85ED">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0</w:t>
      </w:r>
      <w:r>
        <w:rPr>
          <w:rFonts w:ascii="Times New Roman" w:hAnsi="Times New Roman" w:eastAsia="宋体" w:cs="Times New Roman"/>
          <w:bCs/>
          <w:kern w:val="2"/>
          <w:sz w:val="24"/>
          <w:szCs w:val="24"/>
        </w:rPr>
        <w:t>.4酵母形态观察技术</w:t>
      </w:r>
    </w:p>
    <w:p w14:paraId="5454B228">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0</w:t>
      </w:r>
      <w:r>
        <w:rPr>
          <w:rFonts w:ascii="Times New Roman" w:hAnsi="Times New Roman" w:eastAsia="宋体" w:cs="Times New Roman"/>
          <w:bCs/>
          <w:kern w:val="2"/>
          <w:sz w:val="24"/>
          <w:szCs w:val="24"/>
        </w:rPr>
        <w:t>.4.1酵母菌的形态与大小</w:t>
      </w:r>
    </w:p>
    <w:p w14:paraId="5043994C">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0</w:t>
      </w:r>
      <w:r>
        <w:rPr>
          <w:rFonts w:ascii="Times New Roman" w:hAnsi="Times New Roman" w:eastAsia="宋体" w:cs="Times New Roman"/>
          <w:bCs/>
          <w:kern w:val="2"/>
          <w:sz w:val="24"/>
          <w:szCs w:val="24"/>
        </w:rPr>
        <w:t>.4.2酵母菌的细胞结构</w:t>
      </w:r>
    </w:p>
    <w:p w14:paraId="4C5CE09C">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0</w:t>
      </w:r>
      <w:r>
        <w:rPr>
          <w:rFonts w:ascii="Times New Roman" w:hAnsi="Times New Roman" w:eastAsia="宋体" w:cs="Times New Roman"/>
          <w:bCs/>
          <w:kern w:val="2"/>
          <w:sz w:val="24"/>
          <w:szCs w:val="24"/>
        </w:rPr>
        <w:t>.4.3酵母菌的形态鉴别</w:t>
      </w:r>
    </w:p>
    <w:p w14:paraId="22219F02">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0</w:t>
      </w:r>
      <w:r>
        <w:rPr>
          <w:rFonts w:ascii="Times New Roman" w:hAnsi="Times New Roman" w:eastAsia="宋体" w:cs="Times New Roman"/>
          <w:bCs/>
          <w:kern w:val="2"/>
          <w:sz w:val="24"/>
          <w:szCs w:val="24"/>
        </w:rPr>
        <w:t>.4.4酵母菌的生长繁殖</w:t>
      </w:r>
    </w:p>
    <w:p w14:paraId="7EDDDD80">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0</w:t>
      </w:r>
      <w:r>
        <w:rPr>
          <w:rFonts w:ascii="Times New Roman" w:hAnsi="Times New Roman" w:eastAsia="宋体" w:cs="Times New Roman"/>
          <w:bCs/>
          <w:kern w:val="2"/>
          <w:sz w:val="24"/>
          <w:szCs w:val="24"/>
        </w:rPr>
        <w:t>.5霉菌形态观察技术</w:t>
      </w:r>
    </w:p>
    <w:p w14:paraId="2087662C">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0</w:t>
      </w:r>
      <w:r>
        <w:rPr>
          <w:rFonts w:ascii="Times New Roman" w:hAnsi="Times New Roman" w:eastAsia="宋体" w:cs="Times New Roman"/>
          <w:bCs/>
          <w:kern w:val="2"/>
          <w:sz w:val="24"/>
          <w:szCs w:val="24"/>
        </w:rPr>
        <w:t>.5.1菌丝的形态</w:t>
      </w:r>
    </w:p>
    <w:p w14:paraId="05676467">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0</w:t>
      </w:r>
      <w:r>
        <w:rPr>
          <w:rFonts w:ascii="Times New Roman" w:hAnsi="Times New Roman" w:eastAsia="宋体" w:cs="Times New Roman"/>
          <w:bCs/>
          <w:kern w:val="2"/>
          <w:sz w:val="24"/>
          <w:szCs w:val="24"/>
        </w:rPr>
        <w:t>.5.2霉菌的细胞结构</w:t>
      </w:r>
    </w:p>
    <w:p w14:paraId="6A8382A8">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0</w:t>
      </w:r>
      <w:r>
        <w:rPr>
          <w:rFonts w:ascii="Times New Roman" w:hAnsi="Times New Roman" w:eastAsia="宋体" w:cs="Times New Roman"/>
          <w:bCs/>
          <w:kern w:val="2"/>
          <w:sz w:val="24"/>
          <w:szCs w:val="24"/>
        </w:rPr>
        <w:t>.5.3霉菌的形态鉴别</w:t>
      </w:r>
    </w:p>
    <w:p w14:paraId="52384C8F">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0</w:t>
      </w:r>
      <w:r>
        <w:rPr>
          <w:rFonts w:ascii="Times New Roman" w:hAnsi="Times New Roman" w:eastAsia="宋体" w:cs="Times New Roman"/>
          <w:bCs/>
          <w:kern w:val="2"/>
          <w:sz w:val="24"/>
          <w:szCs w:val="24"/>
        </w:rPr>
        <w:t>.5.4霉菌的生长繁殖</w:t>
      </w:r>
    </w:p>
    <w:p w14:paraId="54DDE882">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0</w:t>
      </w:r>
      <w:r>
        <w:rPr>
          <w:rFonts w:ascii="Times New Roman" w:hAnsi="Times New Roman" w:eastAsia="宋体" w:cs="Times New Roman"/>
          <w:bCs/>
          <w:kern w:val="2"/>
          <w:sz w:val="24"/>
          <w:szCs w:val="24"/>
        </w:rPr>
        <w:t>.6病毒学技术</w:t>
      </w:r>
    </w:p>
    <w:p w14:paraId="602DA5E8">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0</w:t>
      </w:r>
      <w:r>
        <w:rPr>
          <w:rFonts w:ascii="Times New Roman" w:hAnsi="Times New Roman" w:eastAsia="宋体" w:cs="Times New Roman"/>
          <w:bCs/>
          <w:kern w:val="2"/>
          <w:sz w:val="24"/>
          <w:szCs w:val="24"/>
        </w:rPr>
        <w:t>.6.1病毒的形态与组成</w:t>
      </w:r>
    </w:p>
    <w:p w14:paraId="52429796">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0</w:t>
      </w:r>
      <w:r>
        <w:rPr>
          <w:rFonts w:ascii="Times New Roman" w:hAnsi="Times New Roman" w:eastAsia="宋体" w:cs="Times New Roman"/>
          <w:bCs/>
          <w:kern w:val="2"/>
          <w:sz w:val="24"/>
          <w:szCs w:val="24"/>
        </w:rPr>
        <w:t>.6.2病毒的生命周期</w:t>
      </w:r>
    </w:p>
    <w:p w14:paraId="5FBE3B51">
      <w:pPr>
        <w:widowControl w:val="0"/>
        <w:adjustRightInd/>
        <w:snapToGrid/>
        <w:spacing w:after="0" w:line="360" w:lineRule="auto"/>
        <w:ind w:left="480"/>
        <w:jc w:val="both"/>
        <w:rPr>
          <w:rFonts w:ascii="Times New Roman" w:hAnsi="Times New Roman" w:eastAsia="宋体" w:cs="Times New Roman"/>
          <w:b/>
          <w:bCs/>
          <w:kern w:val="2"/>
          <w:sz w:val="24"/>
          <w:szCs w:val="24"/>
        </w:rPr>
      </w:pPr>
      <w:r>
        <w:rPr>
          <w:rFonts w:ascii="Times New Roman" w:hAnsi="Times New Roman" w:eastAsia="宋体" w:cs="Times New Roman"/>
          <w:b/>
          <w:bCs/>
          <w:kern w:val="2"/>
          <w:sz w:val="24"/>
          <w:szCs w:val="24"/>
        </w:rPr>
        <w:t>2</w:t>
      </w:r>
      <w:r>
        <w:rPr>
          <w:rFonts w:hint="eastAsia" w:ascii="Times New Roman" w:hAnsi="Times New Roman" w:eastAsia="宋体" w:cs="Times New Roman"/>
          <w:b/>
          <w:bCs/>
          <w:kern w:val="2"/>
          <w:sz w:val="24"/>
          <w:szCs w:val="24"/>
          <w:lang w:val="en-US" w:eastAsia="zh-CN"/>
        </w:rPr>
        <w:t>1</w:t>
      </w:r>
      <w:r>
        <w:rPr>
          <w:rFonts w:ascii="Times New Roman" w:hAnsi="Times New Roman" w:eastAsia="宋体" w:cs="Times New Roman"/>
          <w:b/>
          <w:bCs/>
          <w:kern w:val="2"/>
          <w:sz w:val="24"/>
          <w:szCs w:val="24"/>
        </w:rPr>
        <w:t xml:space="preserve"> 微生物培养技术</w:t>
      </w:r>
    </w:p>
    <w:p w14:paraId="1FF68CDC">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1</w:t>
      </w:r>
      <w:r>
        <w:rPr>
          <w:rFonts w:ascii="Times New Roman" w:hAnsi="Times New Roman" w:eastAsia="宋体" w:cs="Times New Roman"/>
          <w:bCs/>
          <w:kern w:val="2"/>
          <w:sz w:val="24"/>
          <w:szCs w:val="24"/>
        </w:rPr>
        <w:t>.1微生物的营养</w:t>
      </w:r>
    </w:p>
    <w:p w14:paraId="5086A61E">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1</w:t>
      </w:r>
      <w:r>
        <w:rPr>
          <w:rFonts w:ascii="Times New Roman" w:hAnsi="Times New Roman" w:eastAsia="宋体" w:cs="Times New Roman"/>
          <w:bCs/>
          <w:kern w:val="2"/>
          <w:sz w:val="24"/>
          <w:szCs w:val="24"/>
        </w:rPr>
        <w:t>.1.1微生物的化学组成</w:t>
      </w:r>
    </w:p>
    <w:p w14:paraId="589FB0B4">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1</w:t>
      </w:r>
      <w:r>
        <w:rPr>
          <w:rFonts w:ascii="Times New Roman" w:hAnsi="Times New Roman" w:eastAsia="宋体" w:cs="Times New Roman"/>
          <w:bCs/>
          <w:kern w:val="2"/>
          <w:sz w:val="24"/>
          <w:szCs w:val="24"/>
        </w:rPr>
        <w:t>.1.2微生物的营养要素</w:t>
      </w:r>
    </w:p>
    <w:p w14:paraId="014AC123">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1</w:t>
      </w:r>
      <w:r>
        <w:rPr>
          <w:rFonts w:ascii="Times New Roman" w:hAnsi="Times New Roman" w:eastAsia="宋体" w:cs="Times New Roman"/>
          <w:bCs/>
          <w:kern w:val="2"/>
          <w:sz w:val="24"/>
          <w:szCs w:val="24"/>
        </w:rPr>
        <w:t>.1.3微生物的营养类型</w:t>
      </w:r>
    </w:p>
    <w:p w14:paraId="2BE003BA">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1</w:t>
      </w:r>
      <w:r>
        <w:rPr>
          <w:rFonts w:ascii="Times New Roman" w:hAnsi="Times New Roman" w:eastAsia="宋体" w:cs="Times New Roman"/>
          <w:bCs/>
          <w:kern w:val="2"/>
          <w:sz w:val="24"/>
          <w:szCs w:val="24"/>
        </w:rPr>
        <w:t>.1.4营养物质进入微生物细胞的方式</w:t>
      </w:r>
    </w:p>
    <w:p w14:paraId="4BFBD043">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1</w:t>
      </w:r>
      <w:r>
        <w:rPr>
          <w:rFonts w:ascii="Times New Roman" w:hAnsi="Times New Roman" w:eastAsia="宋体" w:cs="Times New Roman"/>
          <w:bCs/>
          <w:kern w:val="2"/>
          <w:sz w:val="24"/>
          <w:szCs w:val="24"/>
        </w:rPr>
        <w:t>.2培养基制备技术</w:t>
      </w:r>
    </w:p>
    <w:p w14:paraId="16716994">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1</w:t>
      </w:r>
      <w:r>
        <w:rPr>
          <w:rFonts w:ascii="Times New Roman" w:hAnsi="Times New Roman" w:eastAsia="宋体" w:cs="Times New Roman"/>
          <w:bCs/>
          <w:kern w:val="2"/>
          <w:sz w:val="24"/>
          <w:szCs w:val="24"/>
        </w:rPr>
        <w:t>.2.1培养基的种类</w:t>
      </w:r>
    </w:p>
    <w:p w14:paraId="17EC1CA6">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1</w:t>
      </w:r>
      <w:r>
        <w:rPr>
          <w:rFonts w:ascii="Times New Roman" w:hAnsi="Times New Roman" w:eastAsia="宋体" w:cs="Times New Roman"/>
          <w:bCs/>
          <w:kern w:val="2"/>
          <w:sz w:val="24"/>
          <w:szCs w:val="24"/>
        </w:rPr>
        <w:t>.2.2培养基的制备</w:t>
      </w:r>
    </w:p>
    <w:p w14:paraId="5813C387">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1</w:t>
      </w:r>
      <w:r>
        <w:rPr>
          <w:rFonts w:ascii="Times New Roman" w:hAnsi="Times New Roman" w:eastAsia="宋体" w:cs="Times New Roman"/>
          <w:bCs/>
          <w:kern w:val="2"/>
          <w:sz w:val="24"/>
          <w:szCs w:val="24"/>
        </w:rPr>
        <w:t>.3微生物控制技术</w:t>
      </w:r>
    </w:p>
    <w:p w14:paraId="0940E6DE">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1</w:t>
      </w:r>
      <w:r>
        <w:rPr>
          <w:rFonts w:ascii="Times New Roman" w:hAnsi="Times New Roman" w:eastAsia="宋体" w:cs="Times New Roman"/>
          <w:bCs/>
          <w:kern w:val="2"/>
          <w:sz w:val="24"/>
          <w:szCs w:val="24"/>
        </w:rPr>
        <w:t>.3.1控制微生物生长的方法</w:t>
      </w:r>
    </w:p>
    <w:p w14:paraId="19E57771">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1</w:t>
      </w:r>
      <w:r>
        <w:rPr>
          <w:rFonts w:ascii="Times New Roman" w:hAnsi="Times New Roman" w:eastAsia="宋体" w:cs="Times New Roman"/>
          <w:bCs/>
          <w:kern w:val="2"/>
          <w:sz w:val="24"/>
          <w:szCs w:val="24"/>
        </w:rPr>
        <w:t>.3.2灭菌、消毒与防腐</w:t>
      </w:r>
    </w:p>
    <w:p w14:paraId="1323E4A6">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1</w:t>
      </w:r>
      <w:r>
        <w:rPr>
          <w:rFonts w:ascii="Times New Roman" w:hAnsi="Times New Roman" w:eastAsia="宋体" w:cs="Times New Roman"/>
          <w:bCs/>
          <w:kern w:val="2"/>
          <w:sz w:val="24"/>
          <w:szCs w:val="24"/>
        </w:rPr>
        <w:t>.4微生物的生长</w:t>
      </w:r>
    </w:p>
    <w:p w14:paraId="6307696D">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1</w:t>
      </w:r>
      <w:r>
        <w:rPr>
          <w:rFonts w:ascii="Times New Roman" w:hAnsi="Times New Roman" w:eastAsia="宋体" w:cs="Times New Roman"/>
          <w:bCs/>
          <w:kern w:val="2"/>
          <w:sz w:val="24"/>
          <w:szCs w:val="24"/>
        </w:rPr>
        <w:t>.4.1影响微生物生长的主要因素</w:t>
      </w:r>
    </w:p>
    <w:p w14:paraId="2E64727C">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1</w:t>
      </w:r>
      <w:r>
        <w:rPr>
          <w:rFonts w:ascii="Times New Roman" w:hAnsi="Times New Roman" w:eastAsia="宋体" w:cs="Times New Roman"/>
          <w:bCs/>
          <w:kern w:val="2"/>
          <w:sz w:val="24"/>
          <w:szCs w:val="24"/>
        </w:rPr>
        <w:t>.4.2微生物的生长规律</w:t>
      </w:r>
    </w:p>
    <w:p w14:paraId="5E88CA80">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1</w:t>
      </w:r>
      <w:r>
        <w:rPr>
          <w:rFonts w:ascii="Times New Roman" w:hAnsi="Times New Roman" w:eastAsia="宋体" w:cs="Times New Roman"/>
          <w:bCs/>
          <w:kern w:val="2"/>
          <w:sz w:val="24"/>
          <w:szCs w:val="24"/>
        </w:rPr>
        <w:t>.5微生物的代谢</w:t>
      </w:r>
    </w:p>
    <w:p w14:paraId="40CD66F8">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1</w:t>
      </w:r>
      <w:r>
        <w:rPr>
          <w:rFonts w:ascii="Times New Roman" w:hAnsi="Times New Roman" w:eastAsia="宋体" w:cs="Times New Roman"/>
          <w:bCs/>
          <w:kern w:val="2"/>
          <w:sz w:val="24"/>
          <w:szCs w:val="24"/>
        </w:rPr>
        <w:t>.6微生物的培养方法</w:t>
      </w:r>
    </w:p>
    <w:p w14:paraId="22F40319">
      <w:pPr>
        <w:widowControl w:val="0"/>
        <w:adjustRightInd/>
        <w:snapToGrid/>
        <w:spacing w:after="0" w:line="360" w:lineRule="auto"/>
        <w:ind w:left="480"/>
        <w:jc w:val="both"/>
        <w:rPr>
          <w:rFonts w:ascii="Times New Roman" w:hAnsi="Times New Roman" w:eastAsia="宋体" w:cs="Times New Roman"/>
          <w:b/>
          <w:bCs/>
          <w:kern w:val="2"/>
          <w:sz w:val="24"/>
          <w:szCs w:val="24"/>
        </w:rPr>
      </w:pPr>
      <w:r>
        <w:rPr>
          <w:rFonts w:ascii="Times New Roman" w:hAnsi="Times New Roman" w:eastAsia="宋体" w:cs="Times New Roman"/>
          <w:b/>
          <w:bCs/>
          <w:kern w:val="2"/>
          <w:sz w:val="24"/>
          <w:szCs w:val="24"/>
        </w:rPr>
        <w:t>2</w:t>
      </w:r>
      <w:r>
        <w:rPr>
          <w:rFonts w:hint="eastAsia" w:ascii="Times New Roman" w:hAnsi="Times New Roman" w:eastAsia="宋体" w:cs="Times New Roman"/>
          <w:b/>
          <w:bCs/>
          <w:kern w:val="2"/>
          <w:sz w:val="24"/>
          <w:szCs w:val="24"/>
          <w:lang w:val="en-US" w:eastAsia="zh-CN"/>
        </w:rPr>
        <w:t>2</w:t>
      </w:r>
      <w:r>
        <w:rPr>
          <w:rFonts w:ascii="Times New Roman" w:hAnsi="Times New Roman" w:eastAsia="宋体" w:cs="Times New Roman"/>
          <w:b/>
          <w:bCs/>
          <w:kern w:val="2"/>
          <w:sz w:val="24"/>
          <w:szCs w:val="24"/>
        </w:rPr>
        <w:t xml:space="preserve"> 微生物生长测定技术</w:t>
      </w:r>
    </w:p>
    <w:p w14:paraId="0627A91B">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2</w:t>
      </w:r>
      <w:r>
        <w:rPr>
          <w:rFonts w:ascii="Times New Roman" w:hAnsi="Times New Roman" w:eastAsia="宋体" w:cs="Times New Roman"/>
          <w:bCs/>
          <w:kern w:val="2"/>
          <w:sz w:val="24"/>
          <w:szCs w:val="24"/>
        </w:rPr>
        <w:t>.1微生物细胞数目和生长量的测定</w:t>
      </w:r>
    </w:p>
    <w:p w14:paraId="3A8F2E2D">
      <w:pPr>
        <w:widowControl w:val="0"/>
        <w:adjustRightInd/>
        <w:snapToGrid/>
        <w:spacing w:after="0" w:line="360" w:lineRule="auto"/>
        <w:ind w:left="480"/>
        <w:jc w:val="both"/>
        <w:rPr>
          <w:rFonts w:ascii="Times New Roman" w:hAnsi="Times New Roman" w:eastAsia="宋体" w:cs="Times New Roman"/>
          <w:b/>
          <w:bCs/>
          <w:kern w:val="2"/>
          <w:sz w:val="24"/>
          <w:szCs w:val="24"/>
        </w:rPr>
      </w:pPr>
      <w:r>
        <w:rPr>
          <w:rFonts w:ascii="Times New Roman" w:hAnsi="Times New Roman" w:eastAsia="宋体" w:cs="Times New Roman"/>
          <w:b/>
          <w:bCs/>
          <w:kern w:val="2"/>
          <w:sz w:val="24"/>
          <w:szCs w:val="24"/>
        </w:rPr>
        <w:t>2</w:t>
      </w:r>
      <w:r>
        <w:rPr>
          <w:rFonts w:hint="eastAsia" w:ascii="Times New Roman" w:hAnsi="Times New Roman" w:eastAsia="宋体" w:cs="Times New Roman"/>
          <w:b/>
          <w:bCs/>
          <w:kern w:val="2"/>
          <w:sz w:val="24"/>
          <w:szCs w:val="24"/>
          <w:lang w:val="en-US" w:eastAsia="zh-CN"/>
        </w:rPr>
        <w:t>2</w:t>
      </w:r>
      <w:r>
        <w:rPr>
          <w:rFonts w:ascii="Times New Roman" w:hAnsi="Times New Roman" w:eastAsia="宋体" w:cs="Times New Roman"/>
          <w:b/>
          <w:bCs/>
          <w:kern w:val="2"/>
          <w:sz w:val="24"/>
          <w:szCs w:val="24"/>
        </w:rPr>
        <w:t xml:space="preserve"> 微生物分离纯化技术</w:t>
      </w:r>
    </w:p>
    <w:p w14:paraId="21EB451F">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2</w:t>
      </w:r>
      <w:r>
        <w:rPr>
          <w:rFonts w:ascii="Times New Roman" w:hAnsi="Times New Roman" w:eastAsia="宋体" w:cs="Times New Roman"/>
          <w:bCs/>
          <w:kern w:val="2"/>
          <w:sz w:val="24"/>
          <w:szCs w:val="24"/>
        </w:rPr>
        <w:t>.1分离技术</w:t>
      </w:r>
    </w:p>
    <w:p w14:paraId="59C788C2">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2</w:t>
      </w:r>
      <w:r>
        <w:rPr>
          <w:rFonts w:ascii="Times New Roman" w:hAnsi="Times New Roman" w:eastAsia="宋体" w:cs="Times New Roman"/>
          <w:bCs/>
          <w:kern w:val="2"/>
          <w:sz w:val="24"/>
          <w:szCs w:val="24"/>
        </w:rPr>
        <w:t>.2纯化技术</w:t>
      </w:r>
    </w:p>
    <w:p w14:paraId="56D653CA">
      <w:pPr>
        <w:widowControl w:val="0"/>
        <w:adjustRightInd/>
        <w:snapToGrid/>
        <w:spacing w:after="0" w:line="360" w:lineRule="auto"/>
        <w:ind w:left="480"/>
        <w:jc w:val="both"/>
        <w:rPr>
          <w:rFonts w:ascii="Times New Roman" w:hAnsi="Times New Roman" w:eastAsia="宋体" w:cs="Times New Roman"/>
          <w:b/>
          <w:bCs/>
          <w:kern w:val="2"/>
          <w:sz w:val="24"/>
          <w:szCs w:val="24"/>
        </w:rPr>
      </w:pPr>
      <w:r>
        <w:rPr>
          <w:rFonts w:ascii="Times New Roman" w:hAnsi="Times New Roman" w:eastAsia="宋体" w:cs="Times New Roman"/>
          <w:b/>
          <w:bCs/>
          <w:kern w:val="2"/>
          <w:sz w:val="24"/>
          <w:szCs w:val="24"/>
        </w:rPr>
        <w:t>2</w:t>
      </w:r>
      <w:r>
        <w:rPr>
          <w:rFonts w:hint="eastAsia" w:ascii="Times New Roman" w:hAnsi="Times New Roman" w:eastAsia="宋体" w:cs="Times New Roman"/>
          <w:b/>
          <w:bCs/>
          <w:kern w:val="2"/>
          <w:sz w:val="24"/>
          <w:szCs w:val="24"/>
          <w:lang w:val="en-US" w:eastAsia="zh-CN"/>
        </w:rPr>
        <w:t>3</w:t>
      </w:r>
      <w:r>
        <w:rPr>
          <w:rFonts w:ascii="Times New Roman" w:hAnsi="Times New Roman" w:eastAsia="宋体" w:cs="Times New Roman"/>
          <w:b/>
          <w:bCs/>
          <w:kern w:val="2"/>
          <w:sz w:val="24"/>
          <w:szCs w:val="24"/>
        </w:rPr>
        <w:t xml:space="preserve"> 微生物菌种保藏技术</w:t>
      </w:r>
    </w:p>
    <w:p w14:paraId="77595A00">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3</w:t>
      </w:r>
      <w:r>
        <w:rPr>
          <w:rFonts w:ascii="Times New Roman" w:hAnsi="Times New Roman" w:eastAsia="宋体" w:cs="Times New Roman"/>
          <w:bCs/>
          <w:kern w:val="2"/>
          <w:sz w:val="24"/>
          <w:szCs w:val="24"/>
        </w:rPr>
        <w:t>.1菌种的保藏</w:t>
      </w:r>
    </w:p>
    <w:p w14:paraId="39DEA83D">
      <w:pPr>
        <w:widowControl w:val="0"/>
        <w:adjustRightInd/>
        <w:snapToGrid/>
        <w:spacing w:after="0" w:line="360" w:lineRule="auto"/>
        <w:ind w:firstLine="482" w:firstLineChars="200"/>
        <w:jc w:val="both"/>
        <w:rPr>
          <w:rFonts w:ascii="Times New Roman" w:hAnsi="Times New Roman" w:eastAsia="宋体" w:cs="Times New Roman"/>
          <w:b/>
          <w:bCs/>
          <w:kern w:val="2"/>
          <w:sz w:val="24"/>
          <w:szCs w:val="24"/>
        </w:rPr>
      </w:pPr>
      <w:r>
        <w:rPr>
          <w:rFonts w:ascii="Times New Roman" w:hAnsi="Times New Roman" w:eastAsia="宋体" w:cs="Times New Roman"/>
          <w:b/>
          <w:bCs/>
          <w:kern w:val="2"/>
          <w:sz w:val="24"/>
          <w:szCs w:val="24"/>
        </w:rPr>
        <w:t>2</w:t>
      </w:r>
      <w:r>
        <w:rPr>
          <w:rFonts w:hint="eastAsia" w:ascii="Times New Roman" w:hAnsi="Times New Roman" w:eastAsia="宋体" w:cs="Times New Roman"/>
          <w:b/>
          <w:bCs/>
          <w:kern w:val="2"/>
          <w:sz w:val="24"/>
          <w:szCs w:val="24"/>
          <w:lang w:val="en-US" w:eastAsia="zh-CN"/>
        </w:rPr>
        <w:t>4</w:t>
      </w:r>
      <w:r>
        <w:rPr>
          <w:rFonts w:ascii="Times New Roman" w:hAnsi="Times New Roman" w:eastAsia="宋体" w:cs="Times New Roman"/>
          <w:b/>
          <w:bCs/>
          <w:kern w:val="2"/>
          <w:sz w:val="24"/>
          <w:szCs w:val="24"/>
        </w:rPr>
        <w:t xml:space="preserve"> </w:t>
      </w:r>
      <w:r>
        <w:rPr>
          <w:rFonts w:ascii="Times New Roman" w:hAnsi="Times New Roman" w:eastAsia="宋体" w:cs="Times New Roman"/>
          <w:b/>
          <w:kern w:val="2"/>
          <w:sz w:val="24"/>
        </w:rPr>
        <w:t>检验环境准备</w:t>
      </w:r>
    </w:p>
    <w:p w14:paraId="2DE8F7EA">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4</w:t>
      </w:r>
      <w:r>
        <w:rPr>
          <w:rFonts w:ascii="Times New Roman" w:hAnsi="Times New Roman" w:eastAsia="宋体" w:cs="Times New Roman"/>
          <w:bCs/>
          <w:kern w:val="2"/>
          <w:sz w:val="24"/>
          <w:szCs w:val="24"/>
        </w:rPr>
        <w:t>.1常规设备的用途及日常维护</w:t>
      </w:r>
    </w:p>
    <w:p w14:paraId="5D7B97FC">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4</w:t>
      </w:r>
      <w:r>
        <w:rPr>
          <w:rFonts w:ascii="Times New Roman" w:hAnsi="Times New Roman" w:eastAsia="宋体" w:cs="Times New Roman"/>
          <w:bCs/>
          <w:kern w:val="2"/>
          <w:sz w:val="24"/>
          <w:szCs w:val="24"/>
        </w:rPr>
        <w:t>.2常用检验器皿的包扎及灭菌</w:t>
      </w:r>
    </w:p>
    <w:p w14:paraId="69827F6D">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4</w:t>
      </w:r>
      <w:r>
        <w:rPr>
          <w:rFonts w:ascii="Times New Roman" w:hAnsi="Times New Roman" w:eastAsia="宋体" w:cs="Times New Roman"/>
          <w:bCs/>
          <w:kern w:val="2"/>
          <w:sz w:val="24"/>
          <w:szCs w:val="24"/>
        </w:rPr>
        <w:t>.3无菌室的消毒与灭菌</w:t>
      </w:r>
    </w:p>
    <w:p w14:paraId="4E5F737B">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4</w:t>
      </w:r>
      <w:r>
        <w:rPr>
          <w:rFonts w:ascii="Times New Roman" w:hAnsi="Times New Roman" w:eastAsia="宋体" w:cs="Times New Roman"/>
          <w:bCs/>
          <w:kern w:val="2"/>
          <w:sz w:val="24"/>
          <w:szCs w:val="24"/>
        </w:rPr>
        <w:t>.3.1无菌室的构造与要求</w:t>
      </w:r>
    </w:p>
    <w:p w14:paraId="3EDE0B54">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w:t>
      </w:r>
      <w:r>
        <w:rPr>
          <w:rFonts w:hint="eastAsia" w:ascii="Times New Roman" w:hAnsi="Times New Roman" w:eastAsia="宋体" w:cs="Times New Roman"/>
          <w:bCs/>
          <w:kern w:val="2"/>
          <w:sz w:val="24"/>
          <w:szCs w:val="24"/>
          <w:lang w:val="en-US" w:eastAsia="zh-CN"/>
        </w:rPr>
        <w:t>4</w:t>
      </w:r>
      <w:r>
        <w:rPr>
          <w:rFonts w:ascii="Times New Roman" w:hAnsi="Times New Roman" w:eastAsia="宋体" w:cs="Times New Roman"/>
          <w:bCs/>
          <w:kern w:val="2"/>
          <w:sz w:val="24"/>
          <w:szCs w:val="24"/>
        </w:rPr>
        <w:t>.3.2无菌室的消毒与灭菌</w:t>
      </w:r>
    </w:p>
    <w:p w14:paraId="67656097">
      <w:pPr>
        <w:widowControl w:val="0"/>
        <w:adjustRightInd/>
        <w:snapToGrid/>
        <w:spacing w:after="0" w:line="360" w:lineRule="auto"/>
        <w:ind w:firstLine="482" w:firstLineChars="200"/>
        <w:jc w:val="both"/>
        <w:rPr>
          <w:rFonts w:ascii="Times New Roman" w:hAnsi="Times New Roman" w:eastAsia="宋体" w:cs="Times New Roman"/>
          <w:b/>
          <w:bCs/>
          <w:kern w:val="2"/>
          <w:sz w:val="24"/>
          <w:szCs w:val="24"/>
        </w:rPr>
      </w:pPr>
      <w:r>
        <w:rPr>
          <w:rFonts w:hint="eastAsia" w:ascii="Times New Roman" w:hAnsi="Times New Roman" w:eastAsia="宋体" w:cs="Times New Roman"/>
          <w:b/>
          <w:bCs/>
          <w:kern w:val="2"/>
          <w:sz w:val="24"/>
          <w:szCs w:val="24"/>
          <w:lang w:val="en-US" w:eastAsia="zh-CN"/>
        </w:rPr>
        <w:t>25</w:t>
      </w:r>
      <w:r>
        <w:rPr>
          <w:rFonts w:ascii="Times New Roman" w:hAnsi="Times New Roman" w:eastAsia="宋体" w:cs="Times New Roman"/>
          <w:b/>
          <w:bCs/>
          <w:kern w:val="2"/>
          <w:sz w:val="24"/>
          <w:szCs w:val="24"/>
        </w:rPr>
        <w:t xml:space="preserve"> 样品采集与接收</w:t>
      </w:r>
    </w:p>
    <w:p w14:paraId="37378135">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25</w:t>
      </w:r>
      <w:r>
        <w:rPr>
          <w:rFonts w:ascii="Times New Roman" w:hAnsi="Times New Roman" w:eastAsia="宋体" w:cs="Times New Roman"/>
          <w:bCs/>
          <w:kern w:val="2"/>
          <w:sz w:val="24"/>
          <w:szCs w:val="24"/>
        </w:rPr>
        <w:t>.1样品的采集</w:t>
      </w:r>
    </w:p>
    <w:p w14:paraId="6764ADDC">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25</w:t>
      </w:r>
      <w:r>
        <w:rPr>
          <w:rFonts w:ascii="Times New Roman" w:hAnsi="Times New Roman" w:eastAsia="宋体" w:cs="Times New Roman"/>
          <w:bCs/>
          <w:kern w:val="2"/>
          <w:sz w:val="24"/>
          <w:szCs w:val="24"/>
        </w:rPr>
        <w:t>.2样品的运输、接收与保存</w:t>
      </w:r>
    </w:p>
    <w:p w14:paraId="1C6EC86F">
      <w:pPr>
        <w:widowControl w:val="0"/>
        <w:adjustRightInd/>
        <w:snapToGrid/>
        <w:spacing w:after="0" w:line="360" w:lineRule="auto"/>
        <w:ind w:firstLine="482" w:firstLineChars="200"/>
        <w:jc w:val="both"/>
        <w:rPr>
          <w:rFonts w:ascii="Times New Roman" w:hAnsi="Times New Roman" w:eastAsia="宋体" w:cs="Times New Roman"/>
          <w:b/>
          <w:bCs/>
          <w:kern w:val="2"/>
          <w:sz w:val="24"/>
          <w:szCs w:val="24"/>
        </w:rPr>
      </w:pPr>
      <w:r>
        <w:rPr>
          <w:rFonts w:ascii="Times New Roman" w:hAnsi="Times New Roman" w:eastAsia="宋体" w:cs="Times New Roman"/>
          <w:b/>
          <w:bCs/>
          <w:kern w:val="2"/>
          <w:sz w:val="24"/>
          <w:szCs w:val="24"/>
        </w:rPr>
        <w:t>3</w:t>
      </w:r>
      <w:r>
        <w:rPr>
          <w:rFonts w:hint="eastAsia" w:ascii="Times New Roman" w:hAnsi="Times New Roman" w:eastAsia="宋体" w:cs="Times New Roman"/>
          <w:b/>
          <w:bCs/>
          <w:kern w:val="2"/>
          <w:sz w:val="24"/>
          <w:szCs w:val="24"/>
          <w:lang w:val="en-US" w:eastAsia="zh-CN"/>
        </w:rPr>
        <w:t>6</w:t>
      </w:r>
      <w:r>
        <w:rPr>
          <w:rFonts w:ascii="Times New Roman" w:hAnsi="Times New Roman" w:eastAsia="宋体" w:cs="Times New Roman"/>
          <w:b/>
          <w:bCs/>
          <w:kern w:val="2"/>
          <w:sz w:val="24"/>
          <w:szCs w:val="24"/>
        </w:rPr>
        <w:t xml:space="preserve"> 菌落总数测定</w:t>
      </w:r>
    </w:p>
    <w:p w14:paraId="610C194C">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26</w:t>
      </w:r>
      <w:r>
        <w:rPr>
          <w:rFonts w:ascii="Times New Roman" w:hAnsi="Times New Roman" w:eastAsia="宋体" w:cs="Times New Roman"/>
          <w:bCs/>
          <w:kern w:val="2"/>
          <w:sz w:val="24"/>
          <w:szCs w:val="24"/>
        </w:rPr>
        <w:t>.1菌落总数测定的依据</w:t>
      </w:r>
    </w:p>
    <w:p w14:paraId="283363AF">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26</w:t>
      </w:r>
      <w:r>
        <w:rPr>
          <w:rFonts w:ascii="Times New Roman" w:hAnsi="Times New Roman" w:eastAsia="宋体" w:cs="Times New Roman"/>
          <w:bCs/>
          <w:kern w:val="2"/>
          <w:sz w:val="24"/>
          <w:szCs w:val="24"/>
        </w:rPr>
        <w:t>.2菌落总数测定的器材</w:t>
      </w:r>
    </w:p>
    <w:p w14:paraId="5683F9B4">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26</w:t>
      </w:r>
      <w:r>
        <w:rPr>
          <w:rFonts w:ascii="Times New Roman" w:hAnsi="Times New Roman" w:eastAsia="宋体" w:cs="Times New Roman"/>
          <w:bCs/>
          <w:kern w:val="2"/>
          <w:sz w:val="24"/>
          <w:szCs w:val="24"/>
        </w:rPr>
        <w:t>.3菌落总数测定的步骤</w:t>
      </w:r>
    </w:p>
    <w:p w14:paraId="200F5306">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26</w:t>
      </w:r>
      <w:r>
        <w:rPr>
          <w:rFonts w:ascii="Times New Roman" w:hAnsi="Times New Roman" w:eastAsia="宋体" w:cs="Times New Roman"/>
          <w:bCs/>
          <w:kern w:val="2"/>
          <w:sz w:val="24"/>
          <w:szCs w:val="24"/>
        </w:rPr>
        <w:t>.4菌落总数结果计数</w:t>
      </w:r>
    </w:p>
    <w:p w14:paraId="06F0BE7C">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26</w:t>
      </w:r>
      <w:r>
        <w:rPr>
          <w:rFonts w:ascii="Times New Roman" w:hAnsi="Times New Roman" w:eastAsia="宋体" w:cs="Times New Roman"/>
          <w:bCs/>
          <w:kern w:val="2"/>
          <w:sz w:val="24"/>
          <w:szCs w:val="24"/>
        </w:rPr>
        <w:t>.5菌落总数结果报告</w:t>
      </w:r>
    </w:p>
    <w:p w14:paraId="5CC86274">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26</w:t>
      </w:r>
      <w:r>
        <w:rPr>
          <w:rFonts w:ascii="Times New Roman" w:hAnsi="Times New Roman" w:eastAsia="宋体" w:cs="Times New Roman"/>
          <w:bCs/>
          <w:kern w:val="2"/>
          <w:sz w:val="24"/>
          <w:szCs w:val="24"/>
        </w:rPr>
        <w:t>.5.1菌落总数的结果计算</w:t>
      </w:r>
    </w:p>
    <w:p w14:paraId="0E75D9F4">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26</w:t>
      </w:r>
      <w:r>
        <w:rPr>
          <w:rFonts w:ascii="Times New Roman" w:hAnsi="Times New Roman" w:eastAsia="宋体" w:cs="Times New Roman"/>
          <w:bCs/>
          <w:kern w:val="2"/>
          <w:sz w:val="24"/>
          <w:szCs w:val="24"/>
        </w:rPr>
        <w:t>.5.2菌落总数结果判定</w:t>
      </w:r>
    </w:p>
    <w:p w14:paraId="5A372900">
      <w:pPr>
        <w:widowControl w:val="0"/>
        <w:adjustRightInd/>
        <w:snapToGrid/>
        <w:spacing w:after="0" w:line="360" w:lineRule="auto"/>
        <w:ind w:firstLine="482" w:firstLineChars="200"/>
        <w:jc w:val="both"/>
        <w:rPr>
          <w:rFonts w:ascii="Times New Roman" w:hAnsi="Times New Roman" w:eastAsia="宋体" w:cs="Times New Roman"/>
          <w:b/>
          <w:bCs/>
          <w:kern w:val="2"/>
          <w:sz w:val="24"/>
          <w:szCs w:val="24"/>
        </w:rPr>
      </w:pPr>
      <w:r>
        <w:rPr>
          <w:rFonts w:hint="eastAsia" w:ascii="Times New Roman" w:hAnsi="Times New Roman" w:eastAsia="宋体" w:cs="Times New Roman"/>
          <w:b/>
          <w:bCs/>
          <w:kern w:val="2"/>
          <w:sz w:val="24"/>
          <w:szCs w:val="24"/>
          <w:lang w:val="en-US" w:eastAsia="zh-CN"/>
        </w:rPr>
        <w:t>27</w:t>
      </w:r>
      <w:r>
        <w:rPr>
          <w:rFonts w:ascii="Times New Roman" w:hAnsi="Times New Roman" w:eastAsia="宋体" w:cs="Times New Roman"/>
          <w:b/>
          <w:bCs/>
          <w:kern w:val="2"/>
          <w:sz w:val="24"/>
          <w:szCs w:val="24"/>
        </w:rPr>
        <w:t xml:space="preserve"> 大肠菌群计数</w:t>
      </w:r>
    </w:p>
    <w:p w14:paraId="112CCA28">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27</w:t>
      </w:r>
      <w:r>
        <w:rPr>
          <w:rFonts w:ascii="Times New Roman" w:hAnsi="Times New Roman" w:eastAsia="宋体" w:cs="Times New Roman"/>
          <w:bCs/>
          <w:kern w:val="2"/>
          <w:sz w:val="24"/>
          <w:szCs w:val="24"/>
        </w:rPr>
        <w:t>.1大肠菌群计数方法与适用范围</w:t>
      </w:r>
    </w:p>
    <w:p w14:paraId="7E541C3F">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27</w:t>
      </w:r>
      <w:r>
        <w:rPr>
          <w:rFonts w:ascii="Times New Roman" w:hAnsi="Times New Roman" w:eastAsia="宋体" w:cs="Times New Roman"/>
          <w:bCs/>
          <w:kern w:val="2"/>
          <w:sz w:val="24"/>
          <w:szCs w:val="24"/>
        </w:rPr>
        <w:t>.2大肠菌群计数的器材</w:t>
      </w:r>
    </w:p>
    <w:p w14:paraId="7BCC942B">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27</w:t>
      </w:r>
      <w:r>
        <w:rPr>
          <w:rFonts w:ascii="Times New Roman" w:hAnsi="Times New Roman" w:eastAsia="宋体" w:cs="Times New Roman"/>
          <w:bCs/>
          <w:kern w:val="2"/>
          <w:sz w:val="24"/>
          <w:szCs w:val="24"/>
        </w:rPr>
        <w:t>.3大肠菌群MPN计数法的步骤</w:t>
      </w:r>
    </w:p>
    <w:p w14:paraId="725D3C6A">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27</w:t>
      </w:r>
      <w:r>
        <w:rPr>
          <w:rFonts w:ascii="Times New Roman" w:hAnsi="Times New Roman" w:eastAsia="宋体" w:cs="Times New Roman"/>
          <w:bCs/>
          <w:kern w:val="2"/>
          <w:sz w:val="24"/>
          <w:szCs w:val="24"/>
        </w:rPr>
        <w:t>.4大肠菌群平板计数法的步骤</w:t>
      </w:r>
    </w:p>
    <w:p w14:paraId="7DE3A604">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27</w:t>
      </w:r>
      <w:r>
        <w:rPr>
          <w:rFonts w:ascii="Times New Roman" w:hAnsi="Times New Roman" w:eastAsia="宋体" w:cs="Times New Roman"/>
          <w:bCs/>
          <w:kern w:val="2"/>
          <w:sz w:val="24"/>
          <w:szCs w:val="24"/>
        </w:rPr>
        <w:t>.5 MPN表的检索与结果判定</w:t>
      </w:r>
    </w:p>
    <w:p w14:paraId="2164DCDE">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27</w:t>
      </w:r>
      <w:r>
        <w:rPr>
          <w:rFonts w:ascii="Times New Roman" w:hAnsi="Times New Roman" w:eastAsia="宋体" w:cs="Times New Roman"/>
          <w:bCs/>
          <w:kern w:val="2"/>
          <w:sz w:val="24"/>
          <w:szCs w:val="24"/>
        </w:rPr>
        <w:t>.6 平板计数法的结果计算与判定</w:t>
      </w:r>
    </w:p>
    <w:p w14:paraId="3579FC67">
      <w:pPr>
        <w:widowControl w:val="0"/>
        <w:adjustRightInd/>
        <w:snapToGrid/>
        <w:spacing w:after="0" w:line="360" w:lineRule="auto"/>
        <w:ind w:firstLine="482" w:firstLineChars="200"/>
        <w:jc w:val="both"/>
        <w:rPr>
          <w:rFonts w:ascii="Times New Roman" w:hAnsi="Times New Roman" w:eastAsia="宋体" w:cs="Times New Roman"/>
          <w:b/>
          <w:bCs/>
          <w:kern w:val="2"/>
          <w:sz w:val="24"/>
          <w:szCs w:val="24"/>
        </w:rPr>
      </w:pPr>
      <w:r>
        <w:rPr>
          <w:rFonts w:hint="eastAsia" w:ascii="Times New Roman" w:hAnsi="Times New Roman" w:eastAsia="宋体" w:cs="Times New Roman"/>
          <w:b/>
          <w:bCs/>
          <w:kern w:val="2"/>
          <w:sz w:val="24"/>
          <w:szCs w:val="24"/>
          <w:lang w:val="en-US" w:eastAsia="zh-CN"/>
        </w:rPr>
        <w:t>28</w:t>
      </w:r>
      <w:r>
        <w:rPr>
          <w:rFonts w:ascii="Times New Roman" w:hAnsi="Times New Roman" w:eastAsia="宋体" w:cs="Times New Roman"/>
          <w:b/>
          <w:bCs/>
          <w:kern w:val="2"/>
          <w:sz w:val="24"/>
          <w:szCs w:val="24"/>
        </w:rPr>
        <w:t xml:space="preserve"> 霉菌酵母计数</w:t>
      </w:r>
    </w:p>
    <w:p w14:paraId="23D4C766">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28</w:t>
      </w:r>
      <w:r>
        <w:rPr>
          <w:rFonts w:ascii="Times New Roman" w:hAnsi="Times New Roman" w:eastAsia="宋体" w:cs="Times New Roman"/>
          <w:bCs/>
          <w:kern w:val="2"/>
          <w:sz w:val="24"/>
          <w:szCs w:val="24"/>
        </w:rPr>
        <w:t>.1霉菌酵母计数的依据</w:t>
      </w:r>
    </w:p>
    <w:p w14:paraId="34F24E93">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28</w:t>
      </w:r>
      <w:r>
        <w:rPr>
          <w:rFonts w:ascii="Times New Roman" w:hAnsi="Times New Roman" w:eastAsia="宋体" w:cs="Times New Roman"/>
          <w:bCs/>
          <w:kern w:val="2"/>
          <w:sz w:val="24"/>
          <w:szCs w:val="24"/>
        </w:rPr>
        <w:t>.2霉菌酵母计数的器材</w:t>
      </w:r>
    </w:p>
    <w:p w14:paraId="4EBD31EC">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28</w:t>
      </w:r>
      <w:r>
        <w:rPr>
          <w:rFonts w:ascii="Times New Roman" w:hAnsi="Times New Roman" w:eastAsia="宋体" w:cs="Times New Roman"/>
          <w:bCs/>
          <w:kern w:val="2"/>
          <w:sz w:val="24"/>
          <w:szCs w:val="24"/>
        </w:rPr>
        <w:t>.3霉菌酵母计数的步骤</w:t>
      </w:r>
    </w:p>
    <w:p w14:paraId="4B310061">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28</w:t>
      </w:r>
      <w:r>
        <w:rPr>
          <w:rFonts w:ascii="Times New Roman" w:hAnsi="Times New Roman" w:eastAsia="宋体" w:cs="Times New Roman"/>
          <w:bCs/>
          <w:kern w:val="2"/>
          <w:sz w:val="24"/>
          <w:szCs w:val="24"/>
        </w:rPr>
        <w:t>.4霉菌酵母计数</w:t>
      </w:r>
    </w:p>
    <w:p w14:paraId="31E85451">
      <w:pPr>
        <w:widowControl w:val="0"/>
        <w:adjustRightInd/>
        <w:snapToGrid/>
        <w:spacing w:after="0" w:line="360" w:lineRule="auto"/>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 xml:space="preserve">    </w:t>
      </w:r>
      <w:r>
        <w:rPr>
          <w:rFonts w:hint="eastAsia" w:ascii="Times New Roman" w:hAnsi="Times New Roman" w:eastAsia="宋体" w:cs="Times New Roman"/>
          <w:bCs/>
          <w:kern w:val="2"/>
          <w:sz w:val="24"/>
          <w:szCs w:val="24"/>
          <w:lang w:val="en-US" w:eastAsia="zh-CN"/>
        </w:rPr>
        <w:t xml:space="preserve">    28.5</w:t>
      </w:r>
      <w:r>
        <w:rPr>
          <w:rFonts w:ascii="Times New Roman" w:hAnsi="Times New Roman" w:eastAsia="宋体" w:cs="Times New Roman"/>
          <w:bCs/>
          <w:kern w:val="2"/>
          <w:sz w:val="24"/>
          <w:szCs w:val="24"/>
        </w:rPr>
        <w:t>霉菌酵母结果报告</w:t>
      </w:r>
    </w:p>
    <w:p w14:paraId="38F7816A">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28.5.</w:t>
      </w:r>
      <w:r>
        <w:rPr>
          <w:rFonts w:ascii="Times New Roman" w:hAnsi="Times New Roman" w:eastAsia="宋体" w:cs="Times New Roman"/>
          <w:bCs/>
          <w:kern w:val="2"/>
          <w:sz w:val="24"/>
          <w:szCs w:val="24"/>
        </w:rPr>
        <w:t>1霉菌酵母的结果计算</w:t>
      </w:r>
    </w:p>
    <w:p w14:paraId="0A2C9F1F">
      <w:pPr>
        <w:widowControl w:val="0"/>
        <w:adjustRightInd/>
        <w:snapToGrid/>
        <w:spacing w:after="0" w:line="360" w:lineRule="auto"/>
        <w:ind w:firstLine="480" w:firstLineChars="20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lang w:val="en-US" w:eastAsia="zh-CN"/>
        </w:rPr>
        <w:t>28</w:t>
      </w:r>
      <w:r>
        <w:rPr>
          <w:rFonts w:ascii="Times New Roman" w:hAnsi="Times New Roman" w:eastAsia="宋体" w:cs="Times New Roman"/>
          <w:bCs/>
          <w:kern w:val="2"/>
          <w:sz w:val="24"/>
          <w:szCs w:val="24"/>
        </w:rPr>
        <w:t>.5.2霉菌酵母的结果判定</w:t>
      </w:r>
    </w:p>
    <w:p w14:paraId="6CE1130B">
      <w:pPr>
        <w:pStyle w:val="14"/>
        <w:spacing w:line="360" w:lineRule="auto"/>
        <w:ind w:left="482" w:firstLine="0" w:firstLineChars="0"/>
        <w:rPr>
          <w:rFonts w:ascii="Times New Roman" w:hAnsi="Times New Roman" w:cs="Times New Roman"/>
          <w:b/>
          <w:bCs/>
          <w:sz w:val="24"/>
          <w:szCs w:val="24"/>
        </w:rPr>
      </w:pPr>
      <w:r>
        <w:rPr>
          <w:rFonts w:ascii="Times New Roman" w:hAnsi="Times New Roman" w:cs="Times New Roman"/>
          <w:b/>
          <w:bCs/>
          <w:sz w:val="24"/>
          <w:szCs w:val="24"/>
        </w:rPr>
        <w:t>（三）食品质量控制模块</w:t>
      </w:r>
    </w:p>
    <w:p w14:paraId="11A48256">
      <w:pPr>
        <w:widowControl w:val="0"/>
        <w:adjustRightInd/>
        <w:snapToGrid/>
        <w:spacing w:after="0" w:line="360" w:lineRule="auto"/>
        <w:ind w:left="480"/>
        <w:jc w:val="both"/>
        <w:rPr>
          <w:rFonts w:ascii="Times New Roman" w:hAnsi="Times New Roman" w:eastAsia="宋体" w:cs="Times New Roman"/>
          <w:b/>
          <w:bCs/>
          <w:kern w:val="2"/>
          <w:sz w:val="24"/>
          <w:szCs w:val="24"/>
        </w:rPr>
      </w:pPr>
      <w:r>
        <w:rPr>
          <w:rFonts w:ascii="Times New Roman" w:hAnsi="Times New Roman" w:eastAsia="宋体" w:cs="Times New Roman"/>
          <w:b/>
          <w:bCs/>
          <w:kern w:val="2"/>
          <w:sz w:val="24"/>
          <w:szCs w:val="24"/>
        </w:rPr>
        <w:t>1 实验室基础知识</w:t>
      </w:r>
    </w:p>
    <w:p w14:paraId="6F28E219">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1.1实验室用电安全</w:t>
      </w:r>
    </w:p>
    <w:p w14:paraId="0E76D684">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1.1.1用电注意事项</w:t>
      </w:r>
    </w:p>
    <w:p w14:paraId="00103C21">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 xml:space="preserve">1.1.2 触电事故及预防 </w:t>
      </w:r>
    </w:p>
    <w:p w14:paraId="09DF7DFB">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1.1.3常见用电错误及正确使用方法</w:t>
      </w:r>
    </w:p>
    <w:p w14:paraId="5DF0BE4E">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1.2 实验室化学品安全</w:t>
      </w:r>
    </w:p>
    <w:p w14:paraId="77C19FB3">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 xml:space="preserve">1.2.1常见化学品的管理 </w:t>
      </w:r>
    </w:p>
    <w:p w14:paraId="5A189D32">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1.2.2 化学品进入人体的途径</w:t>
      </w:r>
    </w:p>
    <w:p w14:paraId="7D537B13">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 xml:space="preserve">1.2.3 化学品的危害  </w:t>
      </w:r>
    </w:p>
    <w:p w14:paraId="06A58809">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1.3 实验室消防安全</w:t>
      </w:r>
    </w:p>
    <w:p w14:paraId="176065C3">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1.3.1 预防火灾的基本方法</w:t>
      </w:r>
    </w:p>
    <w:p w14:paraId="682CAEEC">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1.3.2 化学实验室常见火灾扑救方法</w:t>
      </w:r>
    </w:p>
    <w:p w14:paraId="153F7FB5">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1.3.3 灭火器的使用方法</w:t>
      </w:r>
    </w:p>
    <w:p w14:paraId="401312C7">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1.3.4 火灾现场安全疏散及逃生</w:t>
      </w:r>
    </w:p>
    <w:p w14:paraId="36C435D5">
      <w:pPr>
        <w:widowControl w:val="0"/>
        <w:adjustRightInd/>
        <w:snapToGrid/>
        <w:spacing w:after="0" w:line="360" w:lineRule="auto"/>
        <w:ind w:left="480"/>
        <w:jc w:val="both"/>
        <w:rPr>
          <w:rFonts w:ascii="Times New Roman" w:hAnsi="Times New Roman" w:eastAsia="宋体" w:cs="Times New Roman"/>
          <w:b/>
          <w:bCs/>
          <w:kern w:val="2"/>
          <w:sz w:val="24"/>
          <w:szCs w:val="24"/>
        </w:rPr>
      </w:pPr>
      <w:r>
        <w:rPr>
          <w:rFonts w:ascii="Times New Roman" w:hAnsi="Times New Roman" w:eastAsia="宋体" w:cs="Times New Roman"/>
          <w:b/>
          <w:bCs/>
          <w:kern w:val="2"/>
          <w:sz w:val="24"/>
          <w:szCs w:val="24"/>
        </w:rPr>
        <w:t>2 危险化学品管理要求</w:t>
      </w:r>
    </w:p>
    <w:p w14:paraId="2052088B">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2.1 危险化学品的定义和分类</w:t>
      </w:r>
    </w:p>
    <w:p w14:paraId="061E8003">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 xml:space="preserve">2.1.1爆炸性物质 </w:t>
      </w:r>
    </w:p>
    <w:p w14:paraId="5B219974">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 xml:space="preserve">2.1.2 易燃性物质 </w:t>
      </w:r>
    </w:p>
    <w:p w14:paraId="3308D0FB">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2.1.3 氧化性物质和有机过氧化物</w:t>
      </w:r>
    </w:p>
    <w:p w14:paraId="7445FEDA">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 xml:space="preserve">2.1.4 自燃性物质 </w:t>
      </w:r>
    </w:p>
    <w:p w14:paraId="3C4EF0F3">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 xml:space="preserve">2.1.5易制毒化学品 </w:t>
      </w:r>
    </w:p>
    <w:p w14:paraId="3B7E6894">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2.2危险化学品安全管理措施</w:t>
      </w:r>
    </w:p>
    <w:p w14:paraId="7B7EC87C">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 xml:space="preserve">2.2.1危险化学品的订购 </w:t>
      </w:r>
    </w:p>
    <w:p w14:paraId="49DE2B44">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 xml:space="preserve">2.2.2 危险化学品的储存 </w:t>
      </w:r>
    </w:p>
    <w:p w14:paraId="6B2EB108">
      <w:pPr>
        <w:widowControl w:val="0"/>
        <w:adjustRightInd/>
        <w:snapToGrid/>
        <w:spacing w:after="0" w:line="360" w:lineRule="auto"/>
        <w:ind w:left="480"/>
        <w:jc w:val="both"/>
        <w:rPr>
          <w:rFonts w:ascii="Times New Roman" w:hAnsi="Times New Roman" w:eastAsia="宋体" w:cs="Times New Roman"/>
          <w:b/>
          <w:bCs/>
          <w:kern w:val="2"/>
          <w:sz w:val="24"/>
          <w:szCs w:val="24"/>
        </w:rPr>
      </w:pPr>
      <w:r>
        <w:rPr>
          <w:rFonts w:ascii="Times New Roman" w:hAnsi="Times New Roman" w:eastAsia="宋体" w:cs="Times New Roman"/>
          <w:b/>
          <w:bCs/>
          <w:kern w:val="2"/>
          <w:sz w:val="24"/>
          <w:szCs w:val="24"/>
        </w:rPr>
        <w:t>3 生物实验室安全管理</w:t>
      </w:r>
    </w:p>
    <w:p w14:paraId="794A7E3B">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3.1 生物实验室安全隐患</w:t>
      </w:r>
    </w:p>
    <w:p w14:paraId="39D9A73A">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 xml:space="preserve">3.1.1危险化学品安全隐患 </w:t>
      </w:r>
    </w:p>
    <w:p w14:paraId="6DF13768">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 xml:space="preserve">3.1.2 生物安全隐患 </w:t>
      </w:r>
    </w:p>
    <w:p w14:paraId="59E77ABB">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 xml:space="preserve">3.1.3 仪器安全隐患 </w:t>
      </w:r>
    </w:p>
    <w:p w14:paraId="205C2BC8">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3.1.4 废物处置隐患</w:t>
      </w:r>
    </w:p>
    <w:p w14:paraId="0B0854F3">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3.2 生物实验室的分类</w:t>
      </w:r>
    </w:p>
    <w:p w14:paraId="59AFB815">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3.2.1 病原微生物的危险度等级分类</w:t>
      </w:r>
    </w:p>
    <w:p w14:paraId="4535D43F">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 xml:space="preserve">3.2.2 生物安全实验室的分级及其相关规定 </w:t>
      </w:r>
    </w:p>
    <w:p w14:paraId="3D1C4DD4">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 xml:space="preserve">3.3 生物安全实验室管理  </w:t>
      </w:r>
    </w:p>
    <w:p w14:paraId="01E288CC">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3.3.1 生物实验人员培训</w:t>
      </w:r>
    </w:p>
    <w:p w14:paraId="6AA6B839">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3.3.2 生物安全防护</w:t>
      </w:r>
    </w:p>
    <w:p w14:paraId="18F652CE">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3.3.3 生物安全检查</w:t>
      </w:r>
    </w:p>
    <w:p w14:paraId="3CD36920">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3.4 生物安全实验室的个人防护</w:t>
      </w:r>
    </w:p>
    <w:p w14:paraId="1574C49F">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3.4.1个人防护装备的总体要求</w:t>
      </w:r>
    </w:p>
    <w:p w14:paraId="3BA7D2FE">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3.4.2 各级生物安全实验室的个人防护要求</w:t>
      </w:r>
    </w:p>
    <w:p w14:paraId="30561BD6">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3.4.3个人防护用品的消毒处理</w:t>
      </w:r>
    </w:p>
    <w:p w14:paraId="7276B81B">
      <w:pPr>
        <w:widowControl w:val="0"/>
        <w:adjustRightInd/>
        <w:snapToGrid/>
        <w:spacing w:after="0" w:line="360" w:lineRule="auto"/>
        <w:ind w:left="480"/>
        <w:jc w:val="both"/>
        <w:rPr>
          <w:rFonts w:ascii="Times New Roman" w:hAnsi="Times New Roman" w:eastAsia="宋体" w:cs="Times New Roman"/>
          <w:b/>
          <w:bCs/>
          <w:kern w:val="2"/>
          <w:sz w:val="24"/>
          <w:szCs w:val="24"/>
        </w:rPr>
      </w:pPr>
      <w:r>
        <w:rPr>
          <w:rFonts w:ascii="Times New Roman" w:hAnsi="Times New Roman" w:eastAsia="宋体" w:cs="Times New Roman"/>
          <w:b/>
          <w:bCs/>
          <w:kern w:val="2"/>
          <w:sz w:val="24"/>
          <w:szCs w:val="24"/>
        </w:rPr>
        <w:t>4 危险废物管理及储存</w:t>
      </w:r>
    </w:p>
    <w:p w14:paraId="4F81DC11">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 xml:space="preserve">4.1实验室废物的分类 </w:t>
      </w:r>
    </w:p>
    <w:p w14:paraId="43E4668C">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 xml:space="preserve">4.1.1 废液 </w:t>
      </w:r>
    </w:p>
    <w:p w14:paraId="2C3ED1B1">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 xml:space="preserve">4.1.2 废气 </w:t>
      </w:r>
    </w:p>
    <w:p w14:paraId="00FF3C0F">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 xml:space="preserve">4.1.3 固态废物 </w:t>
      </w:r>
    </w:p>
    <w:p w14:paraId="5AAFCD3C">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4.2 化学实验室废物的处置</w:t>
      </w:r>
    </w:p>
    <w:p w14:paraId="25616312">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4.2.1固体废物的处置</w:t>
      </w:r>
    </w:p>
    <w:p w14:paraId="24227A8A">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4.2.2 废液的处置</w:t>
      </w:r>
    </w:p>
    <w:p w14:paraId="59C3C12B">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4.3 生物安全实验室废物的处置</w:t>
      </w:r>
    </w:p>
    <w:p w14:paraId="45D681F0">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4.3.1 生物安全实验室废物处理的原则</w:t>
      </w:r>
    </w:p>
    <w:p w14:paraId="51439C91">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 xml:space="preserve">4.3.2 生物安全实验室废物的处理程序 </w:t>
      </w:r>
    </w:p>
    <w:p w14:paraId="29DA5259">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4.4实验室废物的收集及暂存</w:t>
      </w:r>
    </w:p>
    <w:p w14:paraId="3795FAD9">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4.4.1废液的收集</w:t>
      </w:r>
    </w:p>
    <w:p w14:paraId="0FC51A7F">
      <w:pPr>
        <w:widowControl w:val="0"/>
        <w:adjustRightInd/>
        <w:snapToGrid/>
        <w:spacing w:after="0" w:line="360" w:lineRule="auto"/>
        <w:ind w:left="480"/>
        <w:jc w:val="both"/>
        <w:rPr>
          <w:rFonts w:ascii="Times New Roman" w:hAnsi="Times New Roman" w:eastAsia="宋体" w:cs="Times New Roman"/>
          <w:bCs/>
          <w:kern w:val="2"/>
          <w:sz w:val="24"/>
          <w:szCs w:val="24"/>
        </w:rPr>
      </w:pPr>
      <w:r>
        <w:rPr>
          <w:rFonts w:ascii="Times New Roman" w:hAnsi="Times New Roman" w:eastAsia="宋体" w:cs="Times New Roman"/>
          <w:bCs/>
          <w:kern w:val="2"/>
          <w:sz w:val="24"/>
          <w:szCs w:val="24"/>
        </w:rPr>
        <w:t>4.4.2 固体废物的收集</w:t>
      </w:r>
    </w:p>
    <w:p w14:paraId="17962E71">
      <w:pPr>
        <w:pStyle w:val="14"/>
        <w:spacing w:line="360" w:lineRule="auto"/>
        <w:ind w:left="480" w:firstLine="0" w:firstLineChars="0"/>
        <w:rPr>
          <w:rFonts w:ascii="Times New Roman" w:hAnsi="Times New Roman" w:cs="Times New Roman"/>
          <w:b/>
          <w:bCs/>
          <w:sz w:val="24"/>
        </w:rPr>
      </w:pPr>
      <w:r>
        <w:rPr>
          <w:rFonts w:ascii="Times New Roman" w:hAnsi="Times New Roman" w:cs="Times New Roman"/>
          <w:b/>
          <w:bCs/>
          <w:sz w:val="24"/>
          <w:szCs w:val="24"/>
        </w:rPr>
        <w:t>5 概述</w:t>
      </w:r>
    </w:p>
    <w:p w14:paraId="77805048">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5.1标准与法规概述 </w:t>
      </w:r>
    </w:p>
    <w:p w14:paraId="1094D2F2">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5.1.1 标准与法规的定义 </w:t>
      </w:r>
    </w:p>
    <w:p w14:paraId="386D39E6">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5.1.2 标准与法规的功能 </w:t>
      </w:r>
    </w:p>
    <w:p w14:paraId="5152F7EF">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5.1.3 标准与法规的关系 </w:t>
      </w:r>
    </w:p>
    <w:p w14:paraId="76FE5B52">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5.2 标准、法规与市场经济的关系 </w:t>
      </w:r>
    </w:p>
    <w:p w14:paraId="17024E48">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5.2.1 标准与市场经济的关系 </w:t>
      </w:r>
    </w:p>
    <w:p w14:paraId="4E81CC70">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5.2.2 法规与市场经济的关系 </w:t>
      </w:r>
    </w:p>
    <w:p w14:paraId="648CCBF0">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5.2.3 标准、法规在市场经济及市场竞争中的作用</w:t>
      </w:r>
    </w:p>
    <w:p w14:paraId="08789B92">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5.4 标准、法规与食品安全体系的关系 </w:t>
      </w:r>
    </w:p>
    <w:p w14:paraId="15F4DA4D">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5.4.1 食品安全及食品安全问题的严重性 </w:t>
      </w:r>
    </w:p>
    <w:p w14:paraId="6D678088">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5.4.2 标准、法规与质量管理体系的关系 </w:t>
      </w:r>
    </w:p>
    <w:p w14:paraId="36BAC2F7">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5.4.3 标准、法规与食品质量安全的关系 </w:t>
      </w:r>
    </w:p>
    <w:p w14:paraId="35D64464">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5.5 食品标准与法规的研究内容、意义和学习方法 </w:t>
      </w:r>
    </w:p>
    <w:p w14:paraId="780A6ED1">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5.5.1 食品标准与法规的研究内容 </w:t>
      </w:r>
    </w:p>
    <w:p w14:paraId="434A347F">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5.5.2 食品标准与法规的研究意义 </w:t>
      </w:r>
    </w:p>
    <w:p w14:paraId="10CCCD9F">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5.5.3 食品标准与法规的学习方法 </w:t>
      </w:r>
    </w:p>
    <w:p w14:paraId="1BF90C4E">
      <w:pPr>
        <w:pStyle w:val="14"/>
        <w:spacing w:line="360" w:lineRule="auto"/>
        <w:ind w:left="480" w:firstLine="0" w:firstLineChars="0"/>
        <w:rPr>
          <w:rFonts w:ascii="Times New Roman" w:hAnsi="Times New Roman" w:cs="Times New Roman"/>
          <w:b/>
          <w:bCs/>
          <w:sz w:val="24"/>
        </w:rPr>
      </w:pPr>
      <w:r>
        <w:rPr>
          <w:rFonts w:ascii="Times New Roman" w:hAnsi="Times New Roman" w:cs="Times New Roman"/>
          <w:b/>
          <w:bCs/>
          <w:sz w:val="24"/>
          <w:szCs w:val="24"/>
        </w:rPr>
        <w:t xml:space="preserve">6 食品法律法规的基础知识 </w:t>
      </w:r>
    </w:p>
    <w:p w14:paraId="3C59C103">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6.1 食品法律与法规概述 </w:t>
      </w:r>
    </w:p>
    <w:p w14:paraId="5A4E5E2A">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6.1.1 法、法律和法规的概念 </w:t>
      </w:r>
    </w:p>
    <w:p w14:paraId="0B7F5571">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6.1.2 法律的基本特征 </w:t>
      </w:r>
    </w:p>
    <w:p w14:paraId="2EFD7DE9">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6.1.3 我国的立法体制与法律体系 </w:t>
      </w:r>
    </w:p>
    <w:p w14:paraId="4DD40D6A">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6.1.4 我国食品法律法规体系 </w:t>
      </w:r>
    </w:p>
    <w:p w14:paraId="5B137712">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6.2 法律法规的分类 </w:t>
      </w:r>
    </w:p>
    <w:p w14:paraId="14CBC608">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6.2.1 法律法规的分类原则 </w:t>
      </w:r>
    </w:p>
    <w:p w14:paraId="6878E83C">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6.2.2 按标准的内容划分 </w:t>
      </w:r>
    </w:p>
    <w:p w14:paraId="01724302">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6.2.3 按照层次划分 </w:t>
      </w:r>
    </w:p>
    <w:p w14:paraId="178144D9">
      <w:pPr>
        <w:pStyle w:val="14"/>
        <w:spacing w:line="360" w:lineRule="auto"/>
        <w:ind w:left="480" w:firstLine="0" w:firstLineChars="0"/>
        <w:rPr>
          <w:rFonts w:ascii="Times New Roman" w:hAnsi="Times New Roman" w:cs="Times New Roman"/>
          <w:b/>
          <w:bCs/>
          <w:sz w:val="24"/>
        </w:rPr>
      </w:pPr>
      <w:r>
        <w:rPr>
          <w:rFonts w:ascii="Times New Roman" w:hAnsi="Times New Roman" w:cs="Times New Roman"/>
          <w:b/>
          <w:bCs/>
          <w:sz w:val="24"/>
          <w:szCs w:val="24"/>
        </w:rPr>
        <w:t xml:space="preserve">7 我国的食品标准 </w:t>
      </w:r>
    </w:p>
    <w:p w14:paraId="553AF73F">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7.1 我国食品标准概述 </w:t>
      </w:r>
    </w:p>
    <w:p w14:paraId="522C1CFD">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7.1.1 我国食品标准发展历程 </w:t>
      </w:r>
    </w:p>
    <w:p w14:paraId="01610A0E">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7.1.2 我国食品标准现状 </w:t>
      </w:r>
    </w:p>
    <w:p w14:paraId="02CB5D08">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7.1.3 我国食品标准与国外食品标准的对比分析 </w:t>
      </w:r>
    </w:p>
    <w:p w14:paraId="4EBCBA3F">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7.2 食品基础标准 </w:t>
      </w:r>
    </w:p>
    <w:p w14:paraId="3941ED05">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7.2.1 食品术语标准 </w:t>
      </w:r>
    </w:p>
    <w:p w14:paraId="312EBA26">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7.2.2 食品图形符号、代号类标准 </w:t>
      </w:r>
    </w:p>
    <w:p w14:paraId="68A81BC5">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7.2.3 食品分类标准 </w:t>
      </w:r>
    </w:p>
    <w:p w14:paraId="143E37D9">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7.3 食品安全标准 </w:t>
      </w:r>
    </w:p>
    <w:p w14:paraId="31F14D29">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7.3.1 食品安全标准的概念 </w:t>
      </w:r>
    </w:p>
    <w:p w14:paraId="1129E2C2">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7.3.2 食品安全标准主要内容 </w:t>
      </w:r>
    </w:p>
    <w:p w14:paraId="0EECDD2F">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7.3.3 食品安全限量标准 </w:t>
      </w:r>
    </w:p>
    <w:p w14:paraId="2FEE0A19">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7.3.4 食品添加剂标准 </w:t>
      </w:r>
    </w:p>
    <w:p w14:paraId="5A06397F">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 xml:space="preserve">7.3.5 食品标签标准   </w:t>
      </w:r>
    </w:p>
    <w:p w14:paraId="3BD8A3DD">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7.3.6 食品贮藏标准</w:t>
      </w:r>
    </w:p>
    <w:p w14:paraId="01133041">
      <w:pPr>
        <w:pStyle w:val="14"/>
        <w:spacing w:line="360" w:lineRule="auto"/>
        <w:ind w:left="480" w:firstLine="0" w:firstLineChars="0"/>
        <w:rPr>
          <w:rFonts w:ascii="Times New Roman" w:hAnsi="Times New Roman" w:cs="Times New Roman"/>
          <w:b/>
          <w:bCs/>
          <w:sz w:val="24"/>
        </w:rPr>
      </w:pPr>
      <w:r>
        <w:rPr>
          <w:rFonts w:ascii="Times New Roman" w:hAnsi="Times New Roman" w:cs="Times New Roman"/>
          <w:b/>
          <w:bCs/>
          <w:sz w:val="24"/>
          <w:szCs w:val="24"/>
        </w:rPr>
        <w:t>8 保健食品和农产品</w:t>
      </w:r>
    </w:p>
    <w:p w14:paraId="582ECE5B">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8.1 农产品及原料的安全与监督管理</w:t>
      </w:r>
    </w:p>
    <w:p w14:paraId="16AF615D">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8.1.1 农产品食品原料分类及标准法规</w:t>
      </w:r>
    </w:p>
    <w:p w14:paraId="6136E5BB">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8.1.2 无公害食品农产品</w:t>
      </w:r>
    </w:p>
    <w:p w14:paraId="12181293">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8.1.3 绿色食品</w:t>
      </w:r>
    </w:p>
    <w:p w14:paraId="408D4A7F">
      <w:pPr>
        <w:pStyle w:val="14"/>
        <w:spacing w:line="360" w:lineRule="auto"/>
        <w:ind w:left="480" w:firstLine="0" w:firstLineChars="0"/>
        <w:rPr>
          <w:rFonts w:ascii="Times New Roman" w:hAnsi="Times New Roman" w:cs="Times New Roman"/>
          <w:bCs/>
          <w:sz w:val="24"/>
        </w:rPr>
      </w:pPr>
      <w:r>
        <w:rPr>
          <w:rFonts w:ascii="Times New Roman" w:hAnsi="Times New Roman" w:cs="Times New Roman"/>
          <w:bCs/>
          <w:sz w:val="24"/>
          <w:szCs w:val="24"/>
        </w:rPr>
        <w:t>8.1.4有机食品</w:t>
      </w:r>
    </w:p>
    <w:p w14:paraId="076FD3B7">
      <w:pPr>
        <w:pStyle w:val="14"/>
        <w:spacing w:line="360" w:lineRule="auto"/>
        <w:ind w:left="482" w:firstLine="0" w:firstLineChars="0"/>
        <w:rPr>
          <w:rFonts w:ascii="Times New Roman" w:hAnsi="Times New Roman" w:cs="Times New Roman"/>
          <w:b/>
          <w:bCs/>
          <w:sz w:val="24"/>
          <w:szCs w:val="24"/>
        </w:rPr>
      </w:pPr>
      <w:r>
        <w:rPr>
          <w:rFonts w:ascii="Times New Roman" w:hAnsi="Times New Roman" w:cs="Times New Roman"/>
          <w:b/>
          <w:bCs/>
          <w:sz w:val="24"/>
          <w:szCs w:val="24"/>
        </w:rPr>
        <w:t>（五）食品加工模块</w:t>
      </w:r>
    </w:p>
    <w:p w14:paraId="6819C455">
      <w:pPr>
        <w:widowControl w:val="0"/>
        <w:adjustRightInd/>
        <w:snapToGrid/>
        <w:spacing w:after="0" w:line="360" w:lineRule="auto"/>
        <w:ind w:left="440" w:leftChars="200"/>
        <w:jc w:val="both"/>
        <w:rPr>
          <w:rFonts w:ascii="Times New Roman" w:hAnsi="Times New Roman" w:cs="Times New Roman" w:eastAsiaTheme="minorEastAsia"/>
          <w:b/>
          <w:kern w:val="2"/>
          <w:sz w:val="24"/>
          <w:szCs w:val="24"/>
        </w:rPr>
      </w:pPr>
      <w:r>
        <w:rPr>
          <w:rFonts w:ascii="Times New Roman" w:hAnsi="Times New Roman" w:cs="Times New Roman" w:eastAsiaTheme="minorEastAsia"/>
          <w:b/>
          <w:kern w:val="2"/>
          <w:sz w:val="24"/>
          <w:szCs w:val="24"/>
        </w:rPr>
        <w:t>1</w:t>
      </w:r>
      <w:r>
        <w:rPr>
          <w:rFonts w:ascii="Times New Roman" w:hAnsi="Times New Roman" w:cs="Times New Roman" w:eastAsiaTheme="minorEastAsia"/>
          <w:b/>
          <w:bCs/>
          <w:color w:val="000000"/>
          <w:kern w:val="2"/>
          <w:sz w:val="24"/>
          <w:szCs w:val="24"/>
        </w:rPr>
        <w:t>安全生产教育</w:t>
      </w:r>
    </w:p>
    <w:p w14:paraId="3F8DDB34">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1.1.识别乳品安全生产中常见的危险</w:t>
      </w:r>
    </w:p>
    <w:p w14:paraId="401F2A10">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1.2预防乳品生产中常用安全风险</w:t>
      </w:r>
    </w:p>
    <w:p w14:paraId="069D8F4B">
      <w:pPr>
        <w:widowControl w:val="0"/>
        <w:adjustRightInd/>
        <w:snapToGrid/>
        <w:spacing w:after="0" w:line="360" w:lineRule="auto"/>
        <w:ind w:left="440" w:leftChars="200"/>
        <w:jc w:val="both"/>
        <w:rPr>
          <w:rFonts w:ascii="Times New Roman" w:hAnsi="Times New Roman" w:cs="Times New Roman" w:eastAsiaTheme="minorEastAsia"/>
          <w:b/>
          <w:kern w:val="2"/>
          <w:sz w:val="24"/>
          <w:szCs w:val="24"/>
        </w:rPr>
      </w:pPr>
      <w:r>
        <w:rPr>
          <w:rFonts w:ascii="Times New Roman" w:hAnsi="Times New Roman" w:cs="Times New Roman" w:eastAsiaTheme="minorEastAsia"/>
          <w:b/>
          <w:kern w:val="2"/>
          <w:sz w:val="24"/>
          <w:szCs w:val="24"/>
        </w:rPr>
        <w:t>2典型单元操作</w:t>
      </w:r>
    </w:p>
    <w:p w14:paraId="658EDDCD">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2.1生乳验收</w:t>
      </w:r>
    </w:p>
    <w:p w14:paraId="34DFEC19">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2.2 预处理</w:t>
      </w:r>
    </w:p>
    <w:p w14:paraId="0D7140C5">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2.3杀菌</w:t>
      </w:r>
    </w:p>
    <w:p w14:paraId="4CCE7632">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2.4灌装</w:t>
      </w:r>
    </w:p>
    <w:p w14:paraId="27993196">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2.5 CIP</w:t>
      </w:r>
    </w:p>
    <w:p w14:paraId="3B0FFDAA">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2.6饮料用水及水处理</w:t>
      </w:r>
    </w:p>
    <w:p w14:paraId="6F83491B">
      <w:pPr>
        <w:widowControl w:val="0"/>
        <w:adjustRightInd/>
        <w:snapToGrid/>
        <w:spacing w:after="0" w:line="360" w:lineRule="auto"/>
        <w:ind w:left="440" w:leftChars="200"/>
        <w:jc w:val="both"/>
        <w:rPr>
          <w:rFonts w:ascii="Times New Roman" w:hAnsi="Times New Roman" w:cs="Times New Roman" w:eastAsiaTheme="minorEastAsia"/>
          <w:b/>
          <w:kern w:val="2"/>
          <w:sz w:val="24"/>
          <w:szCs w:val="24"/>
        </w:rPr>
      </w:pPr>
      <w:r>
        <w:rPr>
          <w:rFonts w:ascii="Times New Roman" w:hAnsi="Times New Roman" w:cs="Times New Roman" w:eastAsiaTheme="minorEastAsia"/>
          <w:b/>
          <w:kern w:val="2"/>
          <w:sz w:val="24"/>
          <w:szCs w:val="24"/>
        </w:rPr>
        <w:t>3典型乳与饮料制品加工</w:t>
      </w:r>
    </w:p>
    <w:p w14:paraId="1A9895A9">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3.1巴氏杀菌乳加工</w:t>
      </w:r>
    </w:p>
    <w:p w14:paraId="6AB229D1">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3.1.1巴氏杀菌乳质量标准</w:t>
      </w:r>
    </w:p>
    <w:p w14:paraId="4FFB2452">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3.1.2巴氏杀菌乳加工过程</w:t>
      </w:r>
    </w:p>
    <w:p w14:paraId="70AD3F1E">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3.2酸乳加工</w:t>
      </w:r>
    </w:p>
    <w:p w14:paraId="415B603A">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3.2.1酸乳质量标准</w:t>
      </w:r>
    </w:p>
    <w:p w14:paraId="6987747F">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3.2.2酸乳加工过程</w:t>
      </w:r>
    </w:p>
    <w:p w14:paraId="0C8D2DC4">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3.3干酪加工</w:t>
      </w:r>
    </w:p>
    <w:p w14:paraId="1F2174D3">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3.3.1干酪质量标准</w:t>
      </w:r>
    </w:p>
    <w:p w14:paraId="618B741A">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3.3.2干酪加工过程</w:t>
      </w:r>
    </w:p>
    <w:p w14:paraId="3DF20527">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3.4果蔬汁加工</w:t>
      </w:r>
    </w:p>
    <w:p w14:paraId="08BC7EBD">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3.4.1果蔬汁质量标准</w:t>
      </w:r>
    </w:p>
    <w:p w14:paraId="4256DCC5">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3.4.2果蔬汁加工过程</w:t>
      </w:r>
    </w:p>
    <w:p w14:paraId="19604FAE">
      <w:pPr>
        <w:widowControl w:val="0"/>
        <w:adjustRightInd/>
        <w:snapToGrid/>
        <w:spacing w:after="0" w:line="360" w:lineRule="auto"/>
        <w:ind w:left="440" w:leftChars="200"/>
        <w:jc w:val="both"/>
        <w:rPr>
          <w:rFonts w:ascii="Times New Roman" w:hAnsi="Times New Roman" w:cs="Times New Roman" w:eastAsiaTheme="minorEastAsia"/>
          <w:b/>
          <w:kern w:val="2"/>
          <w:sz w:val="24"/>
          <w:szCs w:val="24"/>
        </w:rPr>
      </w:pPr>
      <w:r>
        <w:rPr>
          <w:rFonts w:ascii="Times New Roman" w:hAnsi="Times New Roman" w:cs="Times New Roman" w:eastAsiaTheme="minorEastAsia"/>
          <w:b/>
          <w:kern w:val="2"/>
          <w:sz w:val="24"/>
          <w:szCs w:val="24"/>
        </w:rPr>
        <w:t>4 原辅料与生产管理基础</w:t>
      </w:r>
    </w:p>
    <w:p w14:paraId="1EDD7F15">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4.1生产管理基本技能</w:t>
      </w:r>
    </w:p>
    <w:p w14:paraId="32611D4D">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4.1.1日常沟通管理</w:t>
      </w:r>
    </w:p>
    <w:p w14:paraId="52ADD030">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4.1.2 5S管理</w:t>
      </w:r>
    </w:p>
    <w:p w14:paraId="7118AAA2">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4.1.3 目视化管理</w:t>
      </w:r>
    </w:p>
    <w:p w14:paraId="5A5709F4">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4.1.4 甘特图</w:t>
      </w:r>
    </w:p>
    <w:p w14:paraId="5825AE48">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4.1.5 鱼骨图</w:t>
      </w:r>
    </w:p>
    <w:p w14:paraId="389BD56D">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4.2生产管理体系</w:t>
      </w:r>
    </w:p>
    <w:p w14:paraId="4D578532">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4.2.1精益管理体系</w:t>
      </w:r>
    </w:p>
    <w:p w14:paraId="319DBDC2">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4.2.2 TPM管理体系</w:t>
      </w:r>
    </w:p>
    <w:p w14:paraId="0B859937">
      <w:pPr>
        <w:widowControl w:val="0"/>
        <w:adjustRightInd/>
        <w:snapToGrid/>
        <w:spacing w:after="0" w:line="360" w:lineRule="auto"/>
        <w:ind w:left="440" w:leftChars="200"/>
        <w:jc w:val="both"/>
        <w:rPr>
          <w:rFonts w:ascii="Times New Roman" w:hAnsi="Times New Roman" w:cs="Times New Roman" w:eastAsiaTheme="minorEastAsia"/>
          <w:b/>
          <w:kern w:val="2"/>
          <w:sz w:val="24"/>
          <w:szCs w:val="24"/>
        </w:rPr>
      </w:pPr>
      <w:r>
        <w:rPr>
          <w:rFonts w:ascii="Times New Roman" w:hAnsi="Times New Roman" w:cs="Times New Roman" w:eastAsiaTheme="minorEastAsia"/>
          <w:b/>
          <w:kern w:val="2"/>
          <w:sz w:val="24"/>
          <w:szCs w:val="24"/>
        </w:rPr>
        <w:t>5原辅料与生产管理</w:t>
      </w:r>
    </w:p>
    <w:p w14:paraId="1F538F60">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5.1生产计划管理</w:t>
      </w:r>
    </w:p>
    <w:p w14:paraId="63B018C9">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5.1.1核定生产能力</w:t>
      </w:r>
    </w:p>
    <w:p w14:paraId="75B3B8B9">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5.1.2制定生产计划</w:t>
      </w:r>
    </w:p>
    <w:p w14:paraId="0AC28C05">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5.2原辅料管理</w:t>
      </w:r>
    </w:p>
    <w:p w14:paraId="64824433">
      <w:pPr>
        <w:widowControl w:val="0"/>
        <w:adjustRightInd/>
        <w:snapToGrid/>
        <w:spacing w:after="0" w:line="360" w:lineRule="auto"/>
        <w:ind w:left="440" w:leftChars="200"/>
        <w:jc w:val="both"/>
        <w:rPr>
          <w:rFonts w:ascii="Times New Roman" w:hAnsi="Times New Roman" w:cs="Times New Roman" w:eastAsiaTheme="minorEastAsia"/>
          <w:sz w:val="24"/>
          <w:szCs w:val="24"/>
        </w:rPr>
      </w:pPr>
      <w:r>
        <w:rPr>
          <w:rFonts w:ascii="Times New Roman" w:hAnsi="Times New Roman" w:cs="Times New Roman" w:eastAsiaTheme="minorEastAsia"/>
          <w:kern w:val="2"/>
          <w:sz w:val="24"/>
          <w:szCs w:val="24"/>
        </w:rPr>
        <w:t>5.2.1</w:t>
      </w:r>
      <w:r>
        <w:rPr>
          <w:rFonts w:ascii="Times New Roman" w:hAnsi="Times New Roman" w:cs="Times New Roman" w:eastAsiaTheme="minorEastAsia"/>
          <w:sz w:val="24"/>
          <w:szCs w:val="24"/>
        </w:rPr>
        <w:t>原辅料领取管理</w:t>
      </w:r>
    </w:p>
    <w:p w14:paraId="747F550E">
      <w:pPr>
        <w:widowControl w:val="0"/>
        <w:adjustRightInd/>
        <w:snapToGrid/>
        <w:spacing w:after="0" w:line="360" w:lineRule="auto"/>
        <w:ind w:left="440" w:leftChars="200"/>
        <w:jc w:val="both"/>
        <w:rPr>
          <w:rFonts w:ascii="Times New Roman" w:hAnsi="Times New Roman" w:cs="Times New Roman" w:eastAsiaTheme="minorEastAsia"/>
          <w:sz w:val="24"/>
          <w:szCs w:val="24"/>
        </w:rPr>
      </w:pPr>
      <w:r>
        <w:rPr>
          <w:rFonts w:ascii="Times New Roman" w:hAnsi="Times New Roman" w:cs="Times New Roman" w:eastAsiaTheme="minorEastAsia"/>
          <w:kern w:val="2"/>
          <w:sz w:val="24"/>
          <w:szCs w:val="24"/>
        </w:rPr>
        <w:t>5.2.2</w:t>
      </w:r>
      <w:r>
        <w:rPr>
          <w:rFonts w:ascii="Times New Roman" w:hAnsi="Times New Roman" w:cs="Times New Roman" w:eastAsiaTheme="minorEastAsia"/>
          <w:sz w:val="24"/>
          <w:szCs w:val="24"/>
        </w:rPr>
        <w:t>原辅料使用管理</w:t>
      </w:r>
    </w:p>
    <w:p w14:paraId="53EEF5F1">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5.2.3</w:t>
      </w:r>
      <w:r>
        <w:rPr>
          <w:rFonts w:ascii="Times New Roman" w:hAnsi="Times New Roman" w:cs="Times New Roman" w:eastAsiaTheme="minorEastAsia"/>
          <w:sz w:val="24"/>
          <w:szCs w:val="24"/>
        </w:rPr>
        <w:t>原辅料盘点管理</w:t>
      </w:r>
    </w:p>
    <w:p w14:paraId="115E0222">
      <w:pPr>
        <w:widowControl w:val="0"/>
        <w:adjustRightInd/>
        <w:snapToGrid/>
        <w:spacing w:after="0" w:line="360" w:lineRule="auto"/>
        <w:ind w:left="440" w:leftChars="200"/>
        <w:jc w:val="both"/>
        <w:rPr>
          <w:rFonts w:ascii="Times New Roman" w:hAnsi="Times New Roman" w:cs="Times New Roman" w:eastAsiaTheme="minorEastAsia"/>
          <w:kern w:val="2"/>
          <w:sz w:val="24"/>
          <w:szCs w:val="24"/>
        </w:rPr>
      </w:pPr>
      <w:r>
        <w:rPr>
          <w:rFonts w:ascii="Times New Roman" w:hAnsi="Times New Roman" w:cs="Times New Roman" w:eastAsiaTheme="minorEastAsia"/>
          <w:kern w:val="2"/>
          <w:sz w:val="24"/>
          <w:szCs w:val="24"/>
        </w:rPr>
        <w:t>5.3设备管理</w:t>
      </w:r>
    </w:p>
    <w:p w14:paraId="5E849530">
      <w:pPr>
        <w:widowControl w:val="0"/>
        <w:adjustRightInd/>
        <w:snapToGrid/>
        <w:spacing w:after="0" w:line="360" w:lineRule="auto"/>
        <w:ind w:left="440" w:leftChars="200"/>
        <w:rPr>
          <w:rFonts w:ascii="Times New Roman" w:hAnsi="Times New Roman" w:cs="Times New Roman" w:eastAsiaTheme="minorEastAsia"/>
          <w:sz w:val="24"/>
          <w:szCs w:val="24"/>
        </w:rPr>
      </w:pPr>
      <w:r>
        <w:rPr>
          <w:rFonts w:ascii="Times New Roman" w:hAnsi="Times New Roman" w:cs="Times New Roman" w:eastAsiaTheme="minorEastAsia"/>
          <w:kern w:val="2"/>
          <w:sz w:val="24"/>
          <w:szCs w:val="24"/>
        </w:rPr>
        <w:t>5.3</w:t>
      </w:r>
      <w:r>
        <w:rPr>
          <w:rFonts w:ascii="Times New Roman" w:hAnsi="Times New Roman" w:cs="Times New Roman" w:eastAsiaTheme="minorEastAsia"/>
          <w:sz w:val="24"/>
          <w:szCs w:val="24"/>
        </w:rPr>
        <w:t>.1设备日常管理</w:t>
      </w:r>
    </w:p>
    <w:p w14:paraId="2E3DEFEA">
      <w:pPr>
        <w:widowControl w:val="0"/>
        <w:adjustRightInd/>
        <w:snapToGrid/>
        <w:spacing w:after="0" w:line="360" w:lineRule="auto"/>
        <w:ind w:left="440" w:leftChars="200"/>
        <w:rPr>
          <w:rFonts w:ascii="Times New Roman" w:hAnsi="Times New Roman" w:cs="Times New Roman"/>
          <w:bCs/>
          <w:sz w:val="24"/>
          <w:szCs w:val="24"/>
        </w:rPr>
      </w:pPr>
      <w:r>
        <w:rPr>
          <w:rFonts w:ascii="Times New Roman" w:hAnsi="Times New Roman" w:cs="Times New Roman" w:eastAsiaTheme="minorEastAsia"/>
          <w:kern w:val="2"/>
          <w:sz w:val="24"/>
          <w:szCs w:val="24"/>
        </w:rPr>
        <w:t>5.3</w:t>
      </w:r>
      <w:r>
        <w:rPr>
          <w:rFonts w:ascii="Times New Roman" w:hAnsi="Times New Roman" w:cs="Times New Roman" w:eastAsiaTheme="minorEastAsia"/>
          <w:sz w:val="24"/>
          <w:szCs w:val="24"/>
        </w:rPr>
        <w:t>.2设备维护保养管理</w:t>
      </w:r>
    </w:p>
    <w:p w14:paraId="1929B250">
      <w:pPr>
        <w:pStyle w:val="14"/>
        <w:spacing w:line="360" w:lineRule="auto"/>
        <w:ind w:left="482" w:firstLine="0" w:firstLineChars="0"/>
        <w:rPr>
          <w:rFonts w:ascii="Times New Roman" w:hAnsi="Times New Roman" w:cs="Times New Roman"/>
          <w:b/>
          <w:bCs/>
          <w:sz w:val="24"/>
          <w:szCs w:val="24"/>
        </w:rPr>
      </w:pPr>
      <w:r>
        <w:rPr>
          <w:rFonts w:ascii="Times New Roman" w:hAnsi="Times New Roman" w:cs="Times New Roman"/>
          <w:b/>
          <w:bCs/>
          <w:sz w:val="24"/>
          <w:szCs w:val="24"/>
        </w:rPr>
        <w:t xml:space="preserve">四、参考资料 </w:t>
      </w:r>
    </w:p>
    <w:p w14:paraId="6FAA536B">
      <w:pPr>
        <w:spacing w:line="340" w:lineRule="exact"/>
        <w:ind w:firstLine="480" w:firstLineChars="200"/>
        <w:rPr>
          <w:rFonts w:ascii="Times New Roman" w:hAnsi="Times New Roman" w:cs="Times New Roman" w:eastAsiaTheme="minorEastAsia"/>
          <w:kern w:val="2"/>
          <w:sz w:val="24"/>
          <w:szCs w:val="24"/>
        </w:rPr>
      </w:pPr>
      <w:r>
        <w:rPr>
          <w:rFonts w:ascii="Times New Roman" w:hAnsi="Times New Roman" w:cs="Times New Roman"/>
          <w:sz w:val="24"/>
          <w:szCs w:val="24"/>
        </w:rPr>
        <w:t>[1]</w:t>
      </w:r>
      <w:r>
        <w:rPr>
          <w:rFonts w:ascii="Times New Roman" w:hAnsi="Times New Roman" w:cs="Times New Roman"/>
        </w:rPr>
        <w:t xml:space="preserve"> </w:t>
      </w:r>
      <w:r>
        <w:rPr>
          <w:rFonts w:ascii="Times New Roman" w:hAnsi="Times New Roman" w:cs="Times New Roman" w:eastAsiaTheme="minorEastAsia"/>
          <w:kern w:val="2"/>
          <w:sz w:val="24"/>
          <w:szCs w:val="24"/>
        </w:rPr>
        <w:t>秦川.无机化学  第1版.化学工业出版社,2016</w:t>
      </w:r>
    </w:p>
    <w:p w14:paraId="744F1E16">
      <w:pPr>
        <w:spacing w:line="340" w:lineRule="exact"/>
        <w:ind w:firstLine="480" w:firstLineChars="200"/>
        <w:rPr>
          <w:rFonts w:ascii="Times New Roman" w:hAnsi="Times New Roman" w:cs="Times New Roman" w:eastAsiaTheme="minorEastAsia"/>
          <w:kern w:val="2"/>
          <w:sz w:val="24"/>
          <w:szCs w:val="24"/>
        </w:rPr>
      </w:pPr>
      <w:r>
        <w:rPr>
          <w:rFonts w:ascii="Times New Roman" w:hAnsi="Times New Roman" w:cs="Times New Roman"/>
          <w:sz w:val="24"/>
          <w:szCs w:val="24"/>
        </w:rPr>
        <w:t>[2]</w:t>
      </w:r>
      <w:r>
        <w:rPr>
          <w:rFonts w:ascii="Times New Roman" w:hAnsi="Times New Roman" w:cs="Times New Roman"/>
        </w:rPr>
        <w:t xml:space="preserve"> </w:t>
      </w:r>
      <w:r>
        <w:rPr>
          <w:rFonts w:ascii="Times New Roman" w:hAnsi="Times New Roman" w:cs="Times New Roman" w:eastAsiaTheme="minorEastAsia"/>
          <w:kern w:val="2"/>
          <w:sz w:val="24"/>
          <w:szCs w:val="24"/>
        </w:rPr>
        <w:t>王晶.化学选择性必修3（有机化学基础）  第1版.人民教育出版社,2020</w:t>
      </w:r>
    </w:p>
    <w:p w14:paraId="1A4239B1">
      <w:pPr>
        <w:pStyle w:val="14"/>
        <w:spacing w:line="360" w:lineRule="auto"/>
        <w:ind w:firstLine="480"/>
        <w:rPr>
          <w:rFonts w:ascii="Times New Roman" w:hAnsi="Times New Roman" w:cs="Times New Roman"/>
          <w:sz w:val="24"/>
          <w:szCs w:val="24"/>
        </w:rPr>
      </w:pPr>
      <w:r>
        <w:rPr>
          <w:rFonts w:ascii="Times New Roman" w:hAnsi="Times New Roman" w:cs="Times New Roman"/>
          <w:sz w:val="24"/>
          <w:szCs w:val="24"/>
        </w:rPr>
        <w:t>[3]杜克生.食品生物化学 第2版.中国轻工业出版社，2023</w:t>
      </w:r>
    </w:p>
    <w:p w14:paraId="79ABECFA">
      <w:pPr>
        <w:pStyle w:val="14"/>
        <w:spacing w:line="360" w:lineRule="auto"/>
        <w:ind w:firstLine="480"/>
        <w:rPr>
          <w:rFonts w:ascii="Times New Roman" w:hAnsi="Times New Roman" w:cs="Times New Roman"/>
          <w:sz w:val="24"/>
          <w:szCs w:val="24"/>
        </w:rPr>
      </w:pPr>
      <w:r>
        <w:rPr>
          <w:rFonts w:ascii="Times New Roman" w:hAnsi="Times New Roman" w:cs="Times New Roman"/>
          <w:sz w:val="24"/>
          <w:szCs w:val="24"/>
        </w:rPr>
        <w:t>[4]付云红 孙巍.分析化学 第三版.化学工业出版社，2022</w:t>
      </w:r>
    </w:p>
    <w:p w14:paraId="53AF1D11">
      <w:pPr>
        <w:pStyle w:val="14"/>
        <w:spacing w:line="360" w:lineRule="auto"/>
        <w:ind w:firstLine="480"/>
        <w:rPr>
          <w:rFonts w:ascii="Times New Roman" w:hAnsi="Times New Roman" w:cs="Times New Roman"/>
          <w:sz w:val="24"/>
          <w:szCs w:val="24"/>
        </w:rPr>
      </w:pPr>
      <w:r>
        <w:rPr>
          <w:rFonts w:ascii="Times New Roman" w:hAnsi="Times New Roman" w:cs="Times New Roman"/>
          <w:sz w:val="24"/>
          <w:szCs w:val="24"/>
        </w:rPr>
        <w:t>[5]祝美云.食品感官评价.化学工业出版社，2016</w:t>
      </w:r>
    </w:p>
    <w:p w14:paraId="7FFB04E4">
      <w:pPr>
        <w:pStyle w:val="14"/>
        <w:spacing w:line="360" w:lineRule="auto"/>
        <w:ind w:firstLine="480"/>
        <w:rPr>
          <w:rFonts w:ascii="Times New Roman" w:hAnsi="Times New Roman" w:cs="Times New Roman"/>
          <w:sz w:val="24"/>
          <w:szCs w:val="24"/>
        </w:rPr>
      </w:pPr>
      <w:r>
        <w:rPr>
          <w:rFonts w:ascii="Times New Roman" w:hAnsi="Times New Roman" w:cs="Times New Roman"/>
          <w:sz w:val="24"/>
          <w:szCs w:val="24"/>
        </w:rPr>
        <w:t>[6]徐树来,王永华.食品感官分析与实验.化学工业出版社,2018</w:t>
      </w:r>
    </w:p>
    <w:p w14:paraId="5BF7985C">
      <w:pPr>
        <w:pStyle w:val="14"/>
        <w:spacing w:line="360" w:lineRule="auto"/>
        <w:ind w:firstLine="480"/>
        <w:rPr>
          <w:rFonts w:ascii="Times New Roman" w:hAnsi="Times New Roman" w:cs="Times New Roman"/>
          <w:sz w:val="24"/>
          <w:szCs w:val="24"/>
        </w:rPr>
      </w:pPr>
      <w:r>
        <w:rPr>
          <w:rFonts w:ascii="Times New Roman" w:hAnsi="Times New Roman" w:cs="Times New Roman"/>
          <w:sz w:val="24"/>
          <w:szCs w:val="24"/>
        </w:rPr>
        <w:t>[7]GB 7718-2011《食品安全国家标准 预包装食品标签通则》</w:t>
      </w:r>
    </w:p>
    <w:p w14:paraId="449CF33D">
      <w:pPr>
        <w:pStyle w:val="14"/>
        <w:spacing w:line="360" w:lineRule="auto"/>
        <w:ind w:firstLine="480"/>
        <w:rPr>
          <w:rFonts w:ascii="Times New Roman" w:hAnsi="Times New Roman" w:cs="Times New Roman"/>
          <w:sz w:val="24"/>
          <w:szCs w:val="24"/>
        </w:rPr>
      </w:pPr>
      <w:r>
        <w:rPr>
          <w:rFonts w:ascii="Times New Roman" w:hAnsi="Times New Roman" w:cs="Times New Roman"/>
          <w:sz w:val="24"/>
          <w:szCs w:val="24"/>
        </w:rPr>
        <w:t>[8]GB 28050-2011《食品安全国家标准 预包装食品营养标签通则》</w:t>
      </w:r>
    </w:p>
    <w:p w14:paraId="542C41A0">
      <w:pPr>
        <w:pStyle w:val="14"/>
        <w:spacing w:line="360" w:lineRule="auto"/>
        <w:ind w:firstLine="480"/>
        <w:rPr>
          <w:rFonts w:ascii="Times New Roman" w:hAnsi="Times New Roman" w:cs="Times New Roman"/>
          <w:sz w:val="24"/>
          <w:szCs w:val="24"/>
        </w:rPr>
      </w:pPr>
      <w:r>
        <w:rPr>
          <w:rFonts w:ascii="Times New Roman" w:hAnsi="Times New Roman" w:cs="Times New Roman"/>
          <w:sz w:val="24"/>
          <w:szCs w:val="24"/>
        </w:rPr>
        <w:t>[9]王仲伟.食品理化常规检验.高等教育出版社，2024</w:t>
      </w:r>
    </w:p>
    <w:p w14:paraId="40DE887E">
      <w:pPr>
        <w:pStyle w:val="14"/>
        <w:spacing w:line="360" w:lineRule="auto"/>
        <w:ind w:firstLine="480"/>
        <w:rPr>
          <w:rFonts w:ascii="Times New Roman" w:hAnsi="Times New Roman" w:cs="Times New Roman"/>
          <w:sz w:val="24"/>
          <w:szCs w:val="24"/>
        </w:rPr>
      </w:pPr>
      <w:r>
        <w:rPr>
          <w:rFonts w:ascii="Times New Roman" w:hAnsi="Times New Roman" w:cs="Times New Roman"/>
          <w:sz w:val="24"/>
          <w:szCs w:val="24"/>
        </w:rPr>
        <w:t>[10]杜淑霞,王一凡.食品理化检验技术（第二版）.科学出版社,2022</w:t>
      </w:r>
    </w:p>
    <w:p w14:paraId="34271CCC">
      <w:pPr>
        <w:spacing w:line="340" w:lineRule="exact"/>
        <w:ind w:firstLine="480" w:firstLineChars="200"/>
        <w:rPr>
          <w:rFonts w:ascii="Times New Roman" w:hAnsi="Times New Roman" w:cs="Times New Roman"/>
          <w:bCs/>
          <w:sz w:val="24"/>
        </w:rPr>
      </w:pPr>
      <w:r>
        <w:rPr>
          <w:rFonts w:ascii="Times New Roman" w:hAnsi="Times New Roman" w:cs="Times New Roman"/>
          <w:sz w:val="24"/>
          <w:szCs w:val="24"/>
        </w:rPr>
        <w:t>[11]</w:t>
      </w:r>
      <w:r>
        <w:rPr>
          <w:rFonts w:ascii="Times New Roman" w:hAnsi="Times New Roman" w:cs="Times New Roman"/>
        </w:rPr>
        <w:t xml:space="preserve"> </w:t>
      </w:r>
      <w:r>
        <w:rPr>
          <w:rFonts w:ascii="Times New Roman" w:hAnsi="Times New Roman" w:cs="Times New Roman" w:eastAsiaTheme="minorEastAsia"/>
          <w:kern w:val="2"/>
          <w:sz w:val="24"/>
          <w:szCs w:val="24"/>
        </w:rPr>
        <w:t>张宇.实验室安全与管理  第1版.化学工业出版社,2023</w:t>
      </w:r>
    </w:p>
    <w:p w14:paraId="5B887B79">
      <w:pPr>
        <w:pStyle w:val="14"/>
        <w:spacing w:line="360" w:lineRule="auto"/>
        <w:ind w:firstLine="480"/>
        <w:rPr>
          <w:rFonts w:ascii="Times New Roman" w:hAnsi="Times New Roman" w:cs="Times New Roman"/>
          <w:sz w:val="24"/>
          <w:szCs w:val="24"/>
        </w:rPr>
      </w:pPr>
      <w:r>
        <w:rPr>
          <w:rFonts w:ascii="Times New Roman" w:hAnsi="Times New Roman" w:cs="Times New Roman"/>
          <w:sz w:val="24"/>
          <w:szCs w:val="24"/>
        </w:rPr>
        <w:t>[12] 余以刚.食品标准与法规  第3版.中国轻工业出版社,2023</w:t>
      </w:r>
    </w:p>
    <w:p w14:paraId="1DF5C818">
      <w:pPr>
        <w:pStyle w:val="14"/>
        <w:spacing w:line="360" w:lineRule="auto"/>
        <w:ind w:firstLine="480"/>
        <w:rPr>
          <w:rFonts w:ascii="Times New Roman" w:hAnsi="Times New Roman" w:cs="Times New Roman"/>
          <w:sz w:val="24"/>
          <w:szCs w:val="24"/>
        </w:rPr>
      </w:pPr>
      <w:r>
        <w:rPr>
          <w:rFonts w:ascii="Times New Roman" w:hAnsi="Times New Roman" w:cs="Times New Roman"/>
          <w:sz w:val="24"/>
          <w:szCs w:val="24"/>
        </w:rPr>
        <w:t>[13] 罗丽萍，江建军.食品加工技术  第2版.高等教育出版社,2019</w:t>
      </w:r>
    </w:p>
    <w:p w14:paraId="790A1336">
      <w:pPr>
        <w:pStyle w:val="14"/>
        <w:spacing w:line="360" w:lineRule="auto"/>
        <w:ind w:firstLine="480"/>
        <w:rPr>
          <w:rFonts w:ascii="Times New Roman" w:hAnsi="Times New Roman" w:cs="Times New Roman"/>
          <w:sz w:val="24"/>
          <w:szCs w:val="24"/>
        </w:rPr>
      </w:pPr>
      <w:r>
        <w:rPr>
          <w:rFonts w:ascii="Times New Roman" w:hAnsi="Times New Roman" w:cs="Times New Roman"/>
          <w:sz w:val="24"/>
          <w:szCs w:val="24"/>
        </w:rPr>
        <w:t>[14] 马兆瑞，秦立虎.现代乳制品加工技术  第2版.中国轻工业出版社,2010</w:t>
      </w:r>
    </w:p>
    <w:p w14:paraId="391B70DE">
      <w:pPr>
        <w:pStyle w:val="14"/>
        <w:spacing w:line="360" w:lineRule="auto"/>
        <w:ind w:firstLine="480"/>
        <w:rPr>
          <w:rFonts w:ascii="Times New Roman" w:hAnsi="Times New Roman" w:cs="Times New Roman"/>
          <w:sz w:val="24"/>
          <w:szCs w:val="24"/>
        </w:rPr>
      </w:pPr>
      <w:r>
        <w:rPr>
          <w:rFonts w:ascii="Times New Roman" w:hAnsi="Times New Roman" w:cs="Times New Roman"/>
          <w:sz w:val="24"/>
          <w:szCs w:val="24"/>
        </w:rPr>
        <w:t>[15] 滕宝红.生产管理实操  第2版.中国工信出版社,2019</w:t>
      </w:r>
      <w:bookmarkStart w:id="0" w:name="_GoBack"/>
      <w:bookmarkEnd w:id="0"/>
    </w:p>
    <w:sectPr>
      <w:footerReference r:id="rId4" w:type="default"/>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0837385"/>
    </w:sdtPr>
    <w:sdtEndPr>
      <w:rPr>
        <w:rFonts w:asciiTheme="minorEastAsia" w:hAnsiTheme="minorEastAsia" w:eastAsiaTheme="minorEastAsia"/>
      </w:rPr>
    </w:sdtEndPr>
    <w:sdtContent>
      <w:sdt>
        <w:sdtPr>
          <w:id w:val="98381352"/>
        </w:sdtPr>
        <w:sdtEndPr>
          <w:rPr>
            <w:rFonts w:asciiTheme="minorEastAsia" w:hAnsiTheme="minorEastAsia" w:eastAsiaTheme="minorEastAsia"/>
          </w:rPr>
        </w:sdtEndPr>
        <w:sdtContent>
          <w:p w14:paraId="3CCC9435">
            <w:pPr>
              <w:pStyle w:val="6"/>
              <w:jc w:val="center"/>
              <w:rPr>
                <w:rFonts w:hint="eastAsia" w:asciiTheme="minorEastAsia" w:hAnsiTheme="minorEastAsia" w:eastAsiaTheme="minorEastAsia"/>
              </w:rPr>
            </w:pPr>
            <w:r>
              <w:rPr>
                <w:rFonts w:asciiTheme="minorEastAsia" w:hAnsiTheme="minorEastAsia" w:eastAsiaTheme="minorEastAsia"/>
                <w:lang w:val="zh-CN"/>
              </w:rPr>
              <w:t xml:space="preserve"> </w:t>
            </w:r>
            <w:r>
              <w:rPr>
                <w:rFonts w:asciiTheme="minorEastAsia" w:hAnsiTheme="minorEastAsia" w:eastAsiaTheme="minorEastAsia"/>
                <w:b/>
                <w:bCs/>
                <w:sz w:val="24"/>
                <w:szCs w:val="24"/>
              </w:rPr>
              <w:fldChar w:fldCharType="begin"/>
            </w:r>
            <w:r>
              <w:rPr>
                <w:rFonts w:asciiTheme="minorEastAsia" w:hAnsiTheme="minorEastAsia" w:eastAsiaTheme="minorEastAsia"/>
                <w:b/>
                <w:bCs/>
              </w:rPr>
              <w:instrText xml:space="preserve">PAGE</w:instrText>
            </w:r>
            <w:r>
              <w:rPr>
                <w:rFonts w:asciiTheme="minorEastAsia" w:hAnsiTheme="minorEastAsia" w:eastAsiaTheme="minorEastAsia"/>
                <w:b/>
                <w:bCs/>
                <w:sz w:val="24"/>
                <w:szCs w:val="24"/>
              </w:rPr>
              <w:fldChar w:fldCharType="separate"/>
            </w:r>
            <w:r>
              <w:rPr>
                <w:rFonts w:asciiTheme="minorEastAsia" w:hAnsiTheme="minorEastAsia" w:eastAsiaTheme="minorEastAsia"/>
                <w:b/>
                <w:bCs/>
              </w:rPr>
              <w:t>22</w:t>
            </w:r>
            <w:r>
              <w:rPr>
                <w:rFonts w:asciiTheme="minorEastAsia" w:hAnsiTheme="minorEastAsia" w:eastAsiaTheme="minorEastAsia"/>
                <w:b/>
                <w:bCs/>
                <w:sz w:val="24"/>
                <w:szCs w:val="24"/>
              </w:rPr>
              <w:fldChar w:fldCharType="end"/>
            </w:r>
            <w:r>
              <w:rPr>
                <w:rFonts w:asciiTheme="minorEastAsia" w:hAnsiTheme="minorEastAsia" w:eastAsiaTheme="minorEastAsia"/>
                <w:lang w:val="zh-CN"/>
              </w:rPr>
              <w:t xml:space="preserve"> / </w:t>
            </w:r>
            <w:r>
              <w:rPr>
                <w:rFonts w:asciiTheme="minorEastAsia" w:hAnsiTheme="minorEastAsia" w:eastAsiaTheme="minorEastAsia"/>
                <w:b/>
                <w:bCs/>
                <w:sz w:val="24"/>
                <w:szCs w:val="24"/>
              </w:rPr>
              <w:fldChar w:fldCharType="begin"/>
            </w:r>
            <w:r>
              <w:rPr>
                <w:rFonts w:asciiTheme="minorEastAsia" w:hAnsiTheme="minorEastAsia" w:eastAsiaTheme="minorEastAsia"/>
                <w:b/>
                <w:bCs/>
              </w:rPr>
              <w:instrText xml:space="preserve">NUMPAGES</w:instrText>
            </w:r>
            <w:r>
              <w:rPr>
                <w:rFonts w:asciiTheme="minorEastAsia" w:hAnsiTheme="minorEastAsia" w:eastAsiaTheme="minorEastAsia"/>
                <w:b/>
                <w:bCs/>
                <w:sz w:val="24"/>
                <w:szCs w:val="24"/>
              </w:rPr>
              <w:fldChar w:fldCharType="separate"/>
            </w:r>
            <w:r>
              <w:rPr>
                <w:rFonts w:asciiTheme="minorEastAsia" w:hAnsiTheme="minorEastAsia" w:eastAsiaTheme="minorEastAsia"/>
                <w:b/>
                <w:bCs/>
              </w:rPr>
              <w:t>22</w:t>
            </w:r>
            <w:r>
              <w:rPr>
                <w:rFonts w:asciiTheme="minorEastAsia" w:hAnsiTheme="minorEastAsia" w:eastAsiaTheme="minorEastAsia"/>
                <w:b/>
                <w:bCs/>
                <w:sz w:val="24"/>
                <w:szCs w:val="24"/>
              </w:rPr>
              <w:fldChar w:fldCharType="end"/>
            </w:r>
          </w:p>
        </w:sdtContent>
      </w:sdt>
    </w:sdtContent>
  </w:sdt>
  <w:p w14:paraId="0F5E8BF3">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720"/>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jM2JlNzM5MDI5OGE5NzEyM2EyMGE1MDg5NDA5NjIifQ=="/>
  </w:docVars>
  <w:rsids>
    <w:rsidRoot w:val="00D31D50"/>
    <w:rsid w:val="00012071"/>
    <w:rsid w:val="0001543B"/>
    <w:rsid w:val="00015A5E"/>
    <w:rsid w:val="00023A9F"/>
    <w:rsid w:val="00035008"/>
    <w:rsid w:val="00042CF6"/>
    <w:rsid w:val="00043836"/>
    <w:rsid w:val="00055A9E"/>
    <w:rsid w:val="00070F03"/>
    <w:rsid w:val="0007282B"/>
    <w:rsid w:val="00081C40"/>
    <w:rsid w:val="0009042F"/>
    <w:rsid w:val="000918BE"/>
    <w:rsid w:val="00092E98"/>
    <w:rsid w:val="0009794D"/>
    <w:rsid w:val="000C3E32"/>
    <w:rsid w:val="000F1786"/>
    <w:rsid w:val="00113CEF"/>
    <w:rsid w:val="00121161"/>
    <w:rsid w:val="001351B1"/>
    <w:rsid w:val="0014257F"/>
    <w:rsid w:val="00150F9B"/>
    <w:rsid w:val="00180376"/>
    <w:rsid w:val="00195FFC"/>
    <w:rsid w:val="001B561F"/>
    <w:rsid w:val="001C01C6"/>
    <w:rsid w:val="001C7D15"/>
    <w:rsid w:val="001D1857"/>
    <w:rsid w:val="001D22F2"/>
    <w:rsid w:val="001D5428"/>
    <w:rsid w:val="001E6FDC"/>
    <w:rsid w:val="002104FF"/>
    <w:rsid w:val="00241CA1"/>
    <w:rsid w:val="00263788"/>
    <w:rsid w:val="002C2EB7"/>
    <w:rsid w:val="002C5DEF"/>
    <w:rsid w:val="002E584C"/>
    <w:rsid w:val="002F2C35"/>
    <w:rsid w:val="002F5A58"/>
    <w:rsid w:val="00302AA6"/>
    <w:rsid w:val="00304463"/>
    <w:rsid w:val="0031063F"/>
    <w:rsid w:val="00315CD0"/>
    <w:rsid w:val="00323B43"/>
    <w:rsid w:val="0032437F"/>
    <w:rsid w:val="00326A9A"/>
    <w:rsid w:val="00336749"/>
    <w:rsid w:val="00365A6D"/>
    <w:rsid w:val="00373725"/>
    <w:rsid w:val="0037536A"/>
    <w:rsid w:val="003820F8"/>
    <w:rsid w:val="00386732"/>
    <w:rsid w:val="00390F02"/>
    <w:rsid w:val="003913D2"/>
    <w:rsid w:val="00394A39"/>
    <w:rsid w:val="003A086D"/>
    <w:rsid w:val="003B0D65"/>
    <w:rsid w:val="003B2FFD"/>
    <w:rsid w:val="003C2787"/>
    <w:rsid w:val="003C4183"/>
    <w:rsid w:val="003C6997"/>
    <w:rsid w:val="003D37D8"/>
    <w:rsid w:val="003E2CDF"/>
    <w:rsid w:val="003E5253"/>
    <w:rsid w:val="003F19DD"/>
    <w:rsid w:val="00400F9E"/>
    <w:rsid w:val="00407C5F"/>
    <w:rsid w:val="004104AE"/>
    <w:rsid w:val="004232F2"/>
    <w:rsid w:val="00426133"/>
    <w:rsid w:val="004358AB"/>
    <w:rsid w:val="00443B13"/>
    <w:rsid w:val="00447800"/>
    <w:rsid w:val="00450AC0"/>
    <w:rsid w:val="0045212D"/>
    <w:rsid w:val="00453D35"/>
    <w:rsid w:val="004711F6"/>
    <w:rsid w:val="004862FE"/>
    <w:rsid w:val="00495FCE"/>
    <w:rsid w:val="004A3520"/>
    <w:rsid w:val="004A43C1"/>
    <w:rsid w:val="004B590C"/>
    <w:rsid w:val="004B752F"/>
    <w:rsid w:val="004C0563"/>
    <w:rsid w:val="004D237C"/>
    <w:rsid w:val="004D60F5"/>
    <w:rsid w:val="004F20C2"/>
    <w:rsid w:val="00502747"/>
    <w:rsid w:val="00503E93"/>
    <w:rsid w:val="005071CF"/>
    <w:rsid w:val="00507900"/>
    <w:rsid w:val="00511A36"/>
    <w:rsid w:val="005430CF"/>
    <w:rsid w:val="00582EC6"/>
    <w:rsid w:val="005A0463"/>
    <w:rsid w:val="005B1608"/>
    <w:rsid w:val="005B1EAE"/>
    <w:rsid w:val="005B2809"/>
    <w:rsid w:val="005C03A2"/>
    <w:rsid w:val="005F218A"/>
    <w:rsid w:val="00605842"/>
    <w:rsid w:val="0061299F"/>
    <w:rsid w:val="00633A3D"/>
    <w:rsid w:val="00637CA2"/>
    <w:rsid w:val="00645F18"/>
    <w:rsid w:val="006B2A2B"/>
    <w:rsid w:val="006E5BD6"/>
    <w:rsid w:val="00701894"/>
    <w:rsid w:val="007043CB"/>
    <w:rsid w:val="007043D0"/>
    <w:rsid w:val="00707961"/>
    <w:rsid w:val="007118C7"/>
    <w:rsid w:val="00727B5D"/>
    <w:rsid w:val="007453FE"/>
    <w:rsid w:val="00756046"/>
    <w:rsid w:val="00772053"/>
    <w:rsid w:val="00780779"/>
    <w:rsid w:val="00795A22"/>
    <w:rsid w:val="007C0342"/>
    <w:rsid w:val="007D4A01"/>
    <w:rsid w:val="00800F25"/>
    <w:rsid w:val="0080730E"/>
    <w:rsid w:val="00812627"/>
    <w:rsid w:val="00826123"/>
    <w:rsid w:val="00832BC3"/>
    <w:rsid w:val="008362C5"/>
    <w:rsid w:val="0084008C"/>
    <w:rsid w:val="00840DF2"/>
    <w:rsid w:val="008508FD"/>
    <w:rsid w:val="00852898"/>
    <w:rsid w:val="00871069"/>
    <w:rsid w:val="00874129"/>
    <w:rsid w:val="00891F89"/>
    <w:rsid w:val="0089279A"/>
    <w:rsid w:val="008B0967"/>
    <w:rsid w:val="008B7726"/>
    <w:rsid w:val="008C2455"/>
    <w:rsid w:val="008E31A7"/>
    <w:rsid w:val="008E3BB6"/>
    <w:rsid w:val="008F6F59"/>
    <w:rsid w:val="00900606"/>
    <w:rsid w:val="00906036"/>
    <w:rsid w:val="00910095"/>
    <w:rsid w:val="009314A1"/>
    <w:rsid w:val="00943E79"/>
    <w:rsid w:val="00952532"/>
    <w:rsid w:val="0096447E"/>
    <w:rsid w:val="009720C4"/>
    <w:rsid w:val="00981949"/>
    <w:rsid w:val="009B5887"/>
    <w:rsid w:val="009C37A8"/>
    <w:rsid w:val="009C7FE1"/>
    <w:rsid w:val="009E5E09"/>
    <w:rsid w:val="00A155B6"/>
    <w:rsid w:val="00A239A4"/>
    <w:rsid w:val="00A30B2A"/>
    <w:rsid w:val="00A45AFF"/>
    <w:rsid w:val="00A646B2"/>
    <w:rsid w:val="00A76F13"/>
    <w:rsid w:val="00A8337A"/>
    <w:rsid w:val="00A94AB7"/>
    <w:rsid w:val="00AA7E84"/>
    <w:rsid w:val="00AC04F6"/>
    <w:rsid w:val="00AD2795"/>
    <w:rsid w:val="00AE3EB9"/>
    <w:rsid w:val="00AE502C"/>
    <w:rsid w:val="00AF4F98"/>
    <w:rsid w:val="00AF79F2"/>
    <w:rsid w:val="00B04037"/>
    <w:rsid w:val="00B15DCF"/>
    <w:rsid w:val="00B23AD1"/>
    <w:rsid w:val="00B3501B"/>
    <w:rsid w:val="00B37A67"/>
    <w:rsid w:val="00B4171C"/>
    <w:rsid w:val="00B625BF"/>
    <w:rsid w:val="00B70402"/>
    <w:rsid w:val="00B7174D"/>
    <w:rsid w:val="00B744B9"/>
    <w:rsid w:val="00BA1195"/>
    <w:rsid w:val="00BA4D1E"/>
    <w:rsid w:val="00BA5EF4"/>
    <w:rsid w:val="00BA69D7"/>
    <w:rsid w:val="00BB5343"/>
    <w:rsid w:val="00BC4FDB"/>
    <w:rsid w:val="00BD1798"/>
    <w:rsid w:val="00BD6624"/>
    <w:rsid w:val="00BD781B"/>
    <w:rsid w:val="00BE0258"/>
    <w:rsid w:val="00BE069F"/>
    <w:rsid w:val="00BF24EE"/>
    <w:rsid w:val="00C175BA"/>
    <w:rsid w:val="00C2035B"/>
    <w:rsid w:val="00C20E57"/>
    <w:rsid w:val="00C272BA"/>
    <w:rsid w:val="00C35D35"/>
    <w:rsid w:val="00C37E9F"/>
    <w:rsid w:val="00C45CA9"/>
    <w:rsid w:val="00C500BA"/>
    <w:rsid w:val="00C56693"/>
    <w:rsid w:val="00C663B1"/>
    <w:rsid w:val="00C73110"/>
    <w:rsid w:val="00C764D7"/>
    <w:rsid w:val="00C77E7B"/>
    <w:rsid w:val="00D12A12"/>
    <w:rsid w:val="00D15A07"/>
    <w:rsid w:val="00D177CD"/>
    <w:rsid w:val="00D31D50"/>
    <w:rsid w:val="00D32147"/>
    <w:rsid w:val="00D3264A"/>
    <w:rsid w:val="00D34C10"/>
    <w:rsid w:val="00D3545C"/>
    <w:rsid w:val="00D3574D"/>
    <w:rsid w:val="00D36D05"/>
    <w:rsid w:val="00D630AF"/>
    <w:rsid w:val="00DA3AEE"/>
    <w:rsid w:val="00DB7011"/>
    <w:rsid w:val="00DB7065"/>
    <w:rsid w:val="00DC6C84"/>
    <w:rsid w:val="00DC6D77"/>
    <w:rsid w:val="00DD3978"/>
    <w:rsid w:val="00DD5DF6"/>
    <w:rsid w:val="00DE44F3"/>
    <w:rsid w:val="00E03F20"/>
    <w:rsid w:val="00E051CE"/>
    <w:rsid w:val="00E5156B"/>
    <w:rsid w:val="00E53AE8"/>
    <w:rsid w:val="00E61891"/>
    <w:rsid w:val="00EA09AB"/>
    <w:rsid w:val="00EA1DEF"/>
    <w:rsid w:val="00EA7EC9"/>
    <w:rsid w:val="00EC3233"/>
    <w:rsid w:val="00ED1280"/>
    <w:rsid w:val="00EE16FD"/>
    <w:rsid w:val="00EF0891"/>
    <w:rsid w:val="00F05756"/>
    <w:rsid w:val="00F061DD"/>
    <w:rsid w:val="00F12058"/>
    <w:rsid w:val="00F1356B"/>
    <w:rsid w:val="00F14A4B"/>
    <w:rsid w:val="00F17C5B"/>
    <w:rsid w:val="00F205F2"/>
    <w:rsid w:val="00F43F83"/>
    <w:rsid w:val="00F5121A"/>
    <w:rsid w:val="00F75FCA"/>
    <w:rsid w:val="00F945E1"/>
    <w:rsid w:val="00FA28CF"/>
    <w:rsid w:val="00FA372B"/>
    <w:rsid w:val="00FB295A"/>
    <w:rsid w:val="00FB42D9"/>
    <w:rsid w:val="00FC292C"/>
    <w:rsid w:val="00FC48AF"/>
    <w:rsid w:val="00FD48C5"/>
    <w:rsid w:val="00FF66A8"/>
    <w:rsid w:val="04993717"/>
    <w:rsid w:val="05DA5C0C"/>
    <w:rsid w:val="0A465BF1"/>
    <w:rsid w:val="0DDD32A3"/>
    <w:rsid w:val="17CF1E32"/>
    <w:rsid w:val="19172534"/>
    <w:rsid w:val="1D224AD8"/>
    <w:rsid w:val="1E9D006A"/>
    <w:rsid w:val="26E975C8"/>
    <w:rsid w:val="27FD45B5"/>
    <w:rsid w:val="28C57AF0"/>
    <w:rsid w:val="2F5824C1"/>
    <w:rsid w:val="36BB5266"/>
    <w:rsid w:val="3B5A363D"/>
    <w:rsid w:val="456F030B"/>
    <w:rsid w:val="45A51F20"/>
    <w:rsid w:val="558620FA"/>
    <w:rsid w:val="61473C8E"/>
    <w:rsid w:val="63F91396"/>
    <w:rsid w:val="655D66F9"/>
    <w:rsid w:val="6B036367"/>
    <w:rsid w:val="6B0C74AF"/>
    <w:rsid w:val="6C7F2654"/>
    <w:rsid w:val="76DD68F5"/>
    <w:rsid w:val="7EA146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6"/>
    <w:basedOn w:val="1"/>
    <w:next w:val="1"/>
    <w:link w:val="18"/>
    <w:qFormat/>
    <w:uiPriority w:val="0"/>
    <w:pPr>
      <w:widowControl w:val="0"/>
      <w:autoSpaceDE w:val="0"/>
      <w:autoSpaceDN w:val="0"/>
      <w:snapToGrid/>
      <w:spacing w:after="0"/>
      <w:ind w:left="1620" w:hanging="180"/>
      <w:outlineLvl w:val="5"/>
    </w:pPr>
    <w:rPr>
      <w:rFonts w:ascii="Times New Roman" w:hAnsi="Arial" w:eastAsia="宋体" w:cs="Times New Roman"/>
      <w:sz w:val="20"/>
      <w:szCs w:val="20"/>
      <w:lang w:val="zh-CN"/>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5"/>
    <w:qFormat/>
    <w:uiPriority w:val="0"/>
    <w:pPr>
      <w:widowControl w:val="0"/>
      <w:adjustRightInd/>
      <w:snapToGrid/>
      <w:spacing w:after="0"/>
      <w:jc w:val="both"/>
    </w:pPr>
    <w:rPr>
      <w:rFonts w:ascii="宋体" w:hAnsi="Courier New" w:eastAsia="宋体" w:cs="Courier New"/>
      <w:kern w:val="2"/>
      <w:sz w:val="21"/>
      <w:szCs w:val="21"/>
    </w:rPr>
  </w:style>
  <w:style w:type="paragraph" w:styleId="4">
    <w:name w:val="Date"/>
    <w:basedOn w:val="1"/>
    <w:next w:val="1"/>
    <w:link w:val="19"/>
    <w:semiHidden/>
    <w:unhideWhenUsed/>
    <w:qFormat/>
    <w:uiPriority w:val="99"/>
    <w:pPr>
      <w:ind w:left="100" w:leftChars="2500"/>
    </w:pPr>
  </w:style>
  <w:style w:type="paragraph" w:styleId="5">
    <w:name w:val="Balloon Text"/>
    <w:basedOn w:val="1"/>
    <w:link w:val="12"/>
    <w:semiHidden/>
    <w:unhideWhenUsed/>
    <w:qFormat/>
    <w:uiPriority w:val="99"/>
    <w:pPr>
      <w:spacing w:after="0"/>
    </w:pPr>
    <w:rPr>
      <w:sz w:val="18"/>
      <w:szCs w:val="18"/>
    </w:rPr>
  </w:style>
  <w:style w:type="paragraph" w:styleId="6">
    <w:name w:val="footer"/>
    <w:basedOn w:val="1"/>
    <w:link w:val="17"/>
    <w:unhideWhenUsed/>
    <w:qFormat/>
    <w:uiPriority w:val="99"/>
    <w:pPr>
      <w:tabs>
        <w:tab w:val="center" w:pos="4153"/>
        <w:tab w:val="right" w:pos="8306"/>
      </w:tabs>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jc w:val="center"/>
    </w:pPr>
    <w:rPr>
      <w:sz w:val="18"/>
      <w:szCs w:val="18"/>
    </w:rPr>
  </w:style>
  <w:style w:type="paragraph" w:styleId="8">
    <w:name w:val="Normal (Web)"/>
    <w:basedOn w:val="1"/>
    <w:unhideWhenUsed/>
    <w:qFormat/>
    <w:uiPriority w:val="99"/>
    <w:pPr>
      <w:adjustRightInd/>
      <w:snapToGrid/>
      <w:spacing w:after="0"/>
    </w:pPr>
    <w:rPr>
      <w:rFonts w:ascii="宋体" w:hAnsi="宋体" w:eastAsia="宋体" w:cs="宋体"/>
      <w:sz w:val="24"/>
      <w:szCs w:val="24"/>
    </w:rPr>
  </w:style>
  <w:style w:type="character" w:styleId="11">
    <w:name w:val="Strong"/>
    <w:basedOn w:val="10"/>
    <w:qFormat/>
    <w:uiPriority w:val="22"/>
    <w:rPr>
      <w:b/>
      <w:bCs/>
    </w:rPr>
  </w:style>
  <w:style w:type="character" w:customStyle="1" w:styleId="12">
    <w:name w:val="批注框文本 字符"/>
    <w:basedOn w:val="10"/>
    <w:link w:val="5"/>
    <w:semiHidden/>
    <w:qFormat/>
    <w:uiPriority w:val="99"/>
    <w:rPr>
      <w:rFonts w:ascii="Tahoma" w:hAnsi="Tahoma"/>
      <w:sz w:val="18"/>
      <w:szCs w:val="18"/>
    </w:rPr>
  </w:style>
  <w:style w:type="paragraph" w:customStyle="1" w:styleId="13">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14">
    <w:name w:val="List Paragraph"/>
    <w:basedOn w:val="1"/>
    <w:qFormat/>
    <w:uiPriority w:val="34"/>
    <w:pPr>
      <w:widowControl w:val="0"/>
      <w:adjustRightInd/>
      <w:snapToGrid/>
      <w:spacing w:after="0"/>
      <w:ind w:firstLine="420" w:firstLineChars="200"/>
      <w:jc w:val="both"/>
    </w:pPr>
    <w:rPr>
      <w:rFonts w:asciiTheme="minorHAnsi" w:hAnsiTheme="minorHAnsi" w:eastAsiaTheme="minorEastAsia"/>
      <w:kern w:val="2"/>
      <w:sz w:val="21"/>
    </w:rPr>
  </w:style>
  <w:style w:type="character" w:customStyle="1" w:styleId="15">
    <w:name w:val="纯文本 字符"/>
    <w:basedOn w:val="10"/>
    <w:link w:val="3"/>
    <w:qFormat/>
    <w:uiPriority w:val="0"/>
    <w:rPr>
      <w:rFonts w:ascii="宋体" w:hAnsi="Courier New" w:eastAsia="宋体" w:cs="Courier New"/>
      <w:kern w:val="2"/>
      <w:sz w:val="21"/>
      <w:szCs w:val="21"/>
    </w:rPr>
  </w:style>
  <w:style w:type="character" w:customStyle="1" w:styleId="16">
    <w:name w:val="页眉 字符"/>
    <w:basedOn w:val="10"/>
    <w:link w:val="7"/>
    <w:qFormat/>
    <w:uiPriority w:val="99"/>
    <w:rPr>
      <w:rFonts w:ascii="Tahoma" w:hAnsi="Tahoma"/>
      <w:sz w:val="18"/>
      <w:szCs w:val="18"/>
    </w:rPr>
  </w:style>
  <w:style w:type="character" w:customStyle="1" w:styleId="17">
    <w:name w:val="页脚 字符"/>
    <w:basedOn w:val="10"/>
    <w:link w:val="6"/>
    <w:qFormat/>
    <w:uiPriority w:val="99"/>
    <w:rPr>
      <w:rFonts w:ascii="Tahoma" w:hAnsi="Tahoma"/>
      <w:sz w:val="18"/>
      <w:szCs w:val="18"/>
    </w:rPr>
  </w:style>
  <w:style w:type="character" w:customStyle="1" w:styleId="18">
    <w:name w:val="标题 6 字符"/>
    <w:basedOn w:val="10"/>
    <w:link w:val="2"/>
    <w:qFormat/>
    <w:uiPriority w:val="0"/>
    <w:rPr>
      <w:rFonts w:ascii="Times New Roman" w:hAnsi="Arial" w:eastAsia="宋体" w:cs="Times New Roman"/>
      <w:sz w:val="20"/>
      <w:szCs w:val="20"/>
      <w:lang w:val="zh-CN"/>
    </w:rPr>
  </w:style>
  <w:style w:type="character" w:customStyle="1" w:styleId="19">
    <w:name w:val="日期 字符"/>
    <w:basedOn w:val="10"/>
    <w:link w:val="4"/>
    <w:semiHidden/>
    <w:qFormat/>
    <w:uiPriority w:val="99"/>
    <w:rPr>
      <w:rFonts w:ascii="Tahoma" w:hAnsi="Tahom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5905</Words>
  <Characters>7825</Characters>
  <Lines>66</Lines>
  <Paragraphs>18</Paragraphs>
  <TotalTime>269</TotalTime>
  <ScaleCrop>false</ScaleCrop>
  <LinksUpToDate>false</LinksUpToDate>
  <CharactersWithSpaces>8168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2019-11-17T14:10:00Z</dcterms:created>
  <dc:creator>Administrator</dc:creator>
  <cp:lastModifiedBy>欧已铭</cp:lastModifiedBy>
  <dcterms:modified xsi:type="dcterms:W3CDTF">2026-03-15T05:45:50Z</dcterms:modified>
  <cp:revision>128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632ED0D013124914AF733B25298B6F2E_13</vt:lpwstr>
  </property>
  <property fmtid="{D5CDD505-2E9C-101B-9397-08002B2CF9AE}" pid="4" name="KSOTemplateDocerSaveRecord">
    <vt:lpwstr>eyJoZGlkIjoiZDliOWM2MzNlZjk4NTNhNjlmZThmZjcxNGE1Y2Q0ZmIiLCJ1c2VySWQiOiI0Mzc3ODg4OTUifQ==</vt:lpwstr>
  </property>
</Properties>
</file>