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41A59">
      <w:pPr>
        <w:spacing w:after="120" w:afterLines="50" w:line="360" w:lineRule="auto"/>
        <w:jc w:val="center"/>
        <w:rPr>
          <w:rFonts w:hint="eastAsia" w:hAnsi="宋体" w:eastAsia="黑体" w:cs="宋体"/>
          <w:color w:val="000000"/>
          <w:sz w:val="36"/>
          <w:szCs w:val="20"/>
        </w:rPr>
      </w:pPr>
      <w:r>
        <w:rPr>
          <w:rFonts w:hint="eastAsia" w:hAnsi="宋体" w:eastAsia="黑体" w:cs="宋体"/>
          <w:color w:val="000000"/>
          <w:sz w:val="36"/>
          <w:szCs w:val="20"/>
        </w:rPr>
        <w:t>上海中侨职业技术大学</w:t>
      </w:r>
    </w:p>
    <w:p w14:paraId="0E13876D">
      <w:pPr>
        <w:spacing w:after="120" w:afterLines="50" w:line="360" w:lineRule="auto"/>
        <w:jc w:val="center"/>
        <w:rPr>
          <w:rFonts w:hint="eastAsia" w:hAnsi="宋体" w:eastAsia="黑体" w:cs="宋体"/>
          <w:color w:val="000000"/>
          <w:sz w:val="36"/>
          <w:szCs w:val="20"/>
        </w:rPr>
      </w:pPr>
      <w:r>
        <w:rPr>
          <w:rFonts w:hint="eastAsia" w:hAnsi="宋体" w:eastAsia="黑体" w:cs="宋体"/>
          <w:color w:val="000000"/>
          <w:sz w:val="36"/>
          <w:szCs w:val="20"/>
        </w:rPr>
        <w:t>食品质量与安全（中本贯通）</w:t>
      </w:r>
    </w:p>
    <w:p w14:paraId="1E3F11D4">
      <w:pPr>
        <w:spacing w:after="120" w:afterLines="50" w:line="360" w:lineRule="auto"/>
        <w:jc w:val="center"/>
        <w:rPr>
          <w:rFonts w:hint="eastAsia" w:hAnsi="宋体" w:eastAsia="黑体" w:cs="宋体"/>
          <w:color w:val="000000"/>
          <w:sz w:val="36"/>
          <w:szCs w:val="20"/>
        </w:rPr>
      </w:pPr>
      <w:r>
        <w:rPr>
          <w:rFonts w:hint="eastAsia" w:hAnsi="宋体" w:eastAsia="黑体" w:cs="宋体"/>
          <w:color w:val="000000"/>
          <w:sz w:val="36"/>
          <w:szCs w:val="20"/>
        </w:rPr>
        <w:t>《</w:t>
      </w:r>
      <w:r>
        <w:rPr>
          <w:rFonts w:hint="eastAsia" w:hAnsi="宋体" w:eastAsia="黑体" w:cs="宋体"/>
          <w:color w:val="000000" w:themeColor="text1"/>
          <w:sz w:val="36"/>
          <w:szCs w:val="20"/>
          <w14:textFill>
            <w14:solidFill>
              <w14:schemeClr w14:val="tx1"/>
            </w14:solidFill>
          </w14:textFill>
        </w:rPr>
        <w:t>技能水平测试—专业技能操作</w:t>
      </w:r>
      <w:r>
        <w:rPr>
          <w:rFonts w:hint="eastAsia" w:hAnsi="宋体" w:eastAsia="黑体" w:cs="宋体"/>
          <w:color w:val="000000"/>
          <w:sz w:val="36"/>
          <w:szCs w:val="20"/>
        </w:rPr>
        <w:t>》考试大纲</w:t>
      </w:r>
    </w:p>
    <w:p w14:paraId="749BB273">
      <w:pPr>
        <w:adjustRightInd/>
        <w:snapToGrid/>
        <w:spacing w:after="0" w:line="300" w:lineRule="auto"/>
        <w:rPr>
          <w:rFonts w:ascii="Times New Roman" w:hAnsi="Times New Roman" w:eastAsia="宋体" w:cs="Times New Roman"/>
          <w:b/>
          <w:bCs/>
          <w:sz w:val="21"/>
          <w:szCs w:val="21"/>
        </w:rPr>
      </w:pPr>
    </w:p>
    <w:p w14:paraId="1419EE13">
      <w:pPr>
        <w:adjustRightInd/>
        <w:snapToGrid/>
        <w:spacing w:after="0" w:line="520" w:lineRule="exact"/>
        <w:ind w:firstLine="482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cs="Times New Roman" w:asciiTheme="minorEastAsia" w:hAnsiTheme="minorEastAsia" w:eastAsiaTheme="minorEastAsia"/>
          <w:b/>
          <w:bCs/>
          <w:sz w:val="24"/>
          <w:szCs w:val="24"/>
        </w:rPr>
        <w:t>一、考试性质</w:t>
      </w:r>
    </w:p>
    <w:p w14:paraId="41CF11F7">
      <w:pPr>
        <w:adjustRightInd/>
        <w:snapToGrid/>
        <w:spacing w:after="0" w:line="520" w:lineRule="exact"/>
        <w:ind w:firstLine="480" w:firstLineChars="200"/>
        <w:jc w:val="both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cs="Times New Roman" w:asciiTheme="minorEastAsia" w:hAnsiTheme="minorEastAsia" w:eastAsiaTheme="minorEastAsia"/>
          <w:sz w:val="24"/>
          <w:szCs w:val="24"/>
        </w:rPr>
        <w:t>《技能水平测试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—</w:t>
      </w:r>
      <w:r>
        <w:rPr>
          <w:rFonts w:cs="Times New Roman" w:asciiTheme="minorEastAsia" w:hAnsiTheme="minorEastAsia" w:eastAsiaTheme="minorEastAsia"/>
          <w:sz w:val="24"/>
          <w:szCs w:val="24"/>
        </w:rPr>
        <w:t>专业技能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操作</w:t>
      </w:r>
      <w:r>
        <w:rPr>
          <w:rFonts w:cs="Times New Roman" w:asciiTheme="minorEastAsia" w:hAnsiTheme="minorEastAsia" w:eastAsiaTheme="minorEastAsia"/>
          <w:sz w:val="24"/>
          <w:szCs w:val="24"/>
        </w:rPr>
        <w:t>》考试大纲仅适用于上海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食品科技学校</w:t>
      </w:r>
      <w:r>
        <w:rPr>
          <w:rFonts w:cs="Times New Roman" w:asciiTheme="minorEastAsia" w:hAnsiTheme="minorEastAsia" w:eastAsiaTheme="minorEastAsia"/>
          <w:sz w:val="24"/>
          <w:szCs w:val="24"/>
        </w:rPr>
        <w:t>20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2</w:t>
      </w:r>
      <w:r>
        <w:rPr>
          <w:rFonts w:hint="eastAsia" w:cs="Times New Roman" w:asciiTheme="minorEastAsia" w:hAnsiTheme="minorEastAsia" w:eastAsiaTheme="minorEastAsia"/>
          <w:sz w:val="24"/>
          <w:szCs w:val="24"/>
          <w:lang w:val="en-US" w:eastAsia="zh-CN"/>
        </w:rPr>
        <w:t>3</w:t>
      </w:r>
      <w:bookmarkStart w:id="1" w:name="_GoBack"/>
      <w:bookmarkEnd w:id="1"/>
      <w:r>
        <w:rPr>
          <w:rFonts w:cs="Times New Roman" w:asciiTheme="minorEastAsia" w:hAnsiTheme="minorEastAsia" w:eastAsiaTheme="minorEastAsia"/>
          <w:sz w:val="24"/>
          <w:szCs w:val="24"/>
        </w:rPr>
        <w:t>年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食品质量与安全</w:t>
      </w:r>
      <w:r>
        <w:rPr>
          <w:rFonts w:cs="Times New Roman" w:asciiTheme="minorEastAsia" w:hAnsiTheme="minorEastAsia" w:eastAsiaTheme="minorEastAsia"/>
          <w:sz w:val="24"/>
          <w:szCs w:val="24"/>
        </w:rPr>
        <w:t>专业（中本贯通）转段考试的学生。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本次专业技能考核</w:t>
      </w:r>
      <w:r>
        <w:rPr>
          <w:rFonts w:cs="Times New Roman" w:asciiTheme="minorEastAsia" w:hAnsiTheme="minorEastAsia" w:eastAsiaTheme="minorEastAsia"/>
          <w:sz w:val="24"/>
          <w:szCs w:val="24"/>
        </w:rPr>
        <w:t>主要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考察</w:t>
      </w:r>
      <w:r>
        <w:rPr>
          <w:rFonts w:cs="Times New Roman" w:asciiTheme="minorEastAsia" w:hAnsiTheme="minorEastAsia" w:eastAsiaTheme="minorEastAsia"/>
          <w:sz w:val="24"/>
          <w:szCs w:val="24"/>
        </w:rPr>
        <w:t>学生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是否具备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食品检验与食品品质控制</w:t>
      </w:r>
      <w:r>
        <w:rPr>
          <w:rFonts w:cs="宋体" w:asciiTheme="minorEastAsia" w:hAnsiTheme="minorEastAsia" w:eastAsiaTheme="minorEastAsia"/>
          <w:sz w:val="24"/>
          <w:szCs w:val="24"/>
        </w:rPr>
        <w:t>等方面的职业素质和操作技能。</w:t>
      </w:r>
    </w:p>
    <w:p w14:paraId="3FF0FA03">
      <w:pPr>
        <w:adjustRightInd/>
        <w:snapToGrid/>
        <w:spacing w:after="0" w:line="520" w:lineRule="exact"/>
        <w:ind w:firstLine="482" w:firstLineChars="200"/>
        <w:rPr>
          <w:rFonts w:hint="eastAsia" w:cs="Times New Roman" w:asciiTheme="minorEastAsia" w:hAnsiTheme="minorEastAsia" w:eastAsiaTheme="minorEastAsia"/>
          <w:b/>
          <w:bCs/>
          <w:sz w:val="24"/>
          <w:szCs w:val="24"/>
        </w:rPr>
      </w:pPr>
      <w:r>
        <w:rPr>
          <w:rFonts w:cs="Times New Roman" w:asciiTheme="minorEastAsia" w:hAnsiTheme="minorEastAsia" w:eastAsiaTheme="minorEastAsia"/>
          <w:b/>
          <w:bCs/>
          <w:sz w:val="24"/>
          <w:szCs w:val="24"/>
        </w:rPr>
        <w:t>二、考试要求</w:t>
      </w:r>
    </w:p>
    <w:p w14:paraId="1AB4114B">
      <w:pPr>
        <w:adjustRightInd/>
        <w:snapToGrid/>
        <w:spacing w:after="0" w:line="520" w:lineRule="exact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1.</w:t>
      </w:r>
      <w:r>
        <w:rPr>
          <w:rFonts w:cs="Times New Roman" w:asciiTheme="minorEastAsia" w:hAnsiTheme="minorEastAsia" w:eastAsiaTheme="minorEastAsia"/>
          <w:sz w:val="24"/>
          <w:szCs w:val="24"/>
        </w:rPr>
        <w:t>考试采用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实验操作</w:t>
      </w:r>
      <w:r>
        <w:rPr>
          <w:rFonts w:cs="Times New Roman" w:asciiTheme="minorEastAsia" w:hAnsiTheme="minorEastAsia" w:eastAsiaTheme="minorEastAsia"/>
          <w:sz w:val="24"/>
          <w:szCs w:val="24"/>
        </w:rPr>
        <w:t>形式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。</w:t>
      </w:r>
    </w:p>
    <w:p w14:paraId="090839AC">
      <w:pPr>
        <w:adjustRightInd/>
        <w:snapToGrid/>
        <w:spacing w:after="0" w:line="520" w:lineRule="exact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2.</w:t>
      </w:r>
      <w:r>
        <w:rPr>
          <w:rFonts w:cs="Times New Roman" w:asciiTheme="minorEastAsia" w:hAnsiTheme="minorEastAsia" w:eastAsiaTheme="minorEastAsia"/>
          <w:sz w:val="24"/>
          <w:szCs w:val="24"/>
        </w:rPr>
        <w:t>考试时间为1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2</w:t>
      </w:r>
      <w:r>
        <w:rPr>
          <w:rFonts w:cs="Times New Roman" w:asciiTheme="minorEastAsia" w:hAnsiTheme="minorEastAsia" w:eastAsiaTheme="minorEastAsia"/>
          <w:sz w:val="24"/>
          <w:szCs w:val="24"/>
        </w:rPr>
        <w:t>0分钟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，满分180分。</w:t>
      </w:r>
    </w:p>
    <w:p w14:paraId="1B9943A5">
      <w:pPr>
        <w:adjustRightInd/>
        <w:snapToGrid/>
        <w:spacing w:after="0" w:line="520" w:lineRule="exact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3.</w:t>
      </w:r>
      <w:r>
        <w:rPr>
          <w:rFonts w:cs="Times New Roman" w:asciiTheme="minorEastAsia" w:hAnsiTheme="minorEastAsia" w:eastAsiaTheme="minorEastAsia"/>
          <w:sz w:val="24"/>
          <w:szCs w:val="24"/>
        </w:rPr>
        <w:t>试题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名称（大小操作分别抽一）</w:t>
      </w:r>
    </w:p>
    <w:p w14:paraId="61C4C158">
      <w:pPr>
        <w:adjustRightInd/>
        <w:snapToGrid/>
        <w:spacing w:after="0" w:line="520" w:lineRule="exact"/>
        <w:ind w:firstLine="480" w:firstLineChars="200"/>
        <w:rPr>
          <w:rFonts w:hint="eastAsia" w:cs="Times New Roman" w:asciiTheme="minorEastAsia" w:hAnsiTheme="minorEastAsia" w:eastAsiaTheme="minorEastAsia"/>
          <w:bCs/>
          <w:sz w:val="24"/>
          <w:szCs w:val="24"/>
        </w:rPr>
      </w:pPr>
      <w:r>
        <w:rPr>
          <w:rFonts w:cs="Times New Roman" w:asciiTheme="minorEastAsia" w:hAnsiTheme="minorEastAsia" w:eastAsiaTheme="minorEastAsia"/>
          <w:sz w:val="24"/>
          <w:szCs w:val="24"/>
        </w:rPr>
        <w:t>（1）</w:t>
      </w:r>
      <w:bookmarkStart w:id="0" w:name="_Hlk25485236"/>
      <w:r>
        <w:rPr>
          <w:rFonts w:hint="eastAsia" w:cs="Times New Roman" w:asciiTheme="minorEastAsia" w:hAnsiTheme="minorEastAsia" w:eastAsiaTheme="minorEastAsia"/>
          <w:bCs/>
          <w:sz w:val="24"/>
          <w:szCs w:val="24"/>
        </w:rPr>
        <w:t>小操作：EDTA的标定；氢氧化钠的标定；PCA培养基的配制；BGLB肉汤的配制。</w:t>
      </w:r>
    </w:p>
    <w:p w14:paraId="543A33D8">
      <w:pPr>
        <w:adjustRightInd/>
        <w:snapToGrid/>
        <w:spacing w:after="0" w:line="520" w:lineRule="exact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bCs/>
          <w:sz w:val="24"/>
          <w:szCs w:val="24"/>
        </w:rPr>
        <w:t>（2）大操作：大豆中粗脂肪的测定；食醋中的总酸测定；饼干中菌落总数的测定；保健饮料中大肠菌群的测定。</w:t>
      </w:r>
    </w:p>
    <w:bookmarkEnd w:id="0"/>
    <w:p w14:paraId="57E3CE5E">
      <w:pPr>
        <w:adjustRightInd/>
        <w:snapToGrid/>
        <w:spacing w:after="0" w:line="520" w:lineRule="exact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4.</w:t>
      </w:r>
      <w:r>
        <w:rPr>
          <w:rFonts w:cs="Times New Roman" w:asciiTheme="minorEastAsia" w:hAnsiTheme="minorEastAsia" w:eastAsiaTheme="minorEastAsia"/>
          <w:sz w:val="24"/>
          <w:szCs w:val="24"/>
        </w:rPr>
        <w:t>考试主要内容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：试剂与培养基的配制；检验</w:t>
      </w:r>
      <w:r>
        <w:rPr>
          <w:rFonts w:cs="Times New Roman" w:asciiTheme="minorEastAsia" w:hAnsiTheme="minorEastAsia" w:eastAsiaTheme="minorEastAsia"/>
          <w:sz w:val="24"/>
          <w:szCs w:val="24"/>
        </w:rPr>
        <w:t>方法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、设备与试剂的选择；样品前处理；项目</w:t>
      </w:r>
      <w:r>
        <w:rPr>
          <w:rFonts w:cs="Times New Roman" w:asciiTheme="minorEastAsia" w:hAnsiTheme="minorEastAsia" w:eastAsiaTheme="minorEastAsia"/>
          <w:sz w:val="24"/>
          <w:szCs w:val="24"/>
        </w:rPr>
        <w:t>的检测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；数据</w:t>
      </w:r>
      <w:r>
        <w:rPr>
          <w:rFonts w:cs="Times New Roman" w:asciiTheme="minorEastAsia" w:hAnsiTheme="minorEastAsia" w:eastAsiaTheme="minorEastAsia"/>
          <w:sz w:val="24"/>
          <w:szCs w:val="24"/>
        </w:rPr>
        <w:t>记录与处理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；检验</w:t>
      </w:r>
      <w:r>
        <w:rPr>
          <w:rFonts w:cs="Times New Roman" w:asciiTheme="minorEastAsia" w:hAnsiTheme="minorEastAsia" w:eastAsiaTheme="minorEastAsia"/>
          <w:sz w:val="24"/>
          <w:szCs w:val="24"/>
        </w:rPr>
        <w:t>结果的判定与评价等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知识</w:t>
      </w:r>
      <w:r>
        <w:rPr>
          <w:rFonts w:cs="Times New Roman" w:asciiTheme="minorEastAsia" w:hAnsiTheme="minorEastAsia" w:eastAsiaTheme="minorEastAsia"/>
          <w:sz w:val="24"/>
          <w:szCs w:val="24"/>
        </w:rPr>
        <w:t>点，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检验</w:t>
      </w:r>
      <w:r>
        <w:rPr>
          <w:rFonts w:cs="Times New Roman" w:asciiTheme="minorEastAsia" w:hAnsiTheme="minorEastAsia" w:eastAsiaTheme="minorEastAsia"/>
          <w:sz w:val="24"/>
          <w:szCs w:val="24"/>
        </w:rPr>
        <w:t>学生是否具备以下能力（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技能</w:t>
      </w:r>
      <w:r>
        <w:rPr>
          <w:rFonts w:cs="Times New Roman" w:asciiTheme="minorEastAsia" w:hAnsiTheme="minorEastAsia" w:eastAsiaTheme="minorEastAsia"/>
          <w:sz w:val="24"/>
          <w:szCs w:val="24"/>
        </w:rPr>
        <w:t>）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：</w:t>
      </w:r>
      <w:r>
        <w:rPr>
          <w:rFonts w:cs="Times New Roman" w:asciiTheme="minorEastAsia" w:hAnsiTheme="minorEastAsia" w:eastAsiaTheme="minorEastAsia"/>
          <w:sz w:val="24"/>
          <w:szCs w:val="24"/>
        </w:rPr>
        <w:t xml:space="preserve"> </w:t>
      </w:r>
    </w:p>
    <w:p w14:paraId="5970D160">
      <w:pPr>
        <w:adjustRightInd/>
        <w:snapToGrid/>
        <w:spacing w:after="0" w:line="520" w:lineRule="exact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（1）会规范配制常用试剂与培养基；</w:t>
      </w:r>
    </w:p>
    <w:p w14:paraId="581D38EC">
      <w:pPr>
        <w:adjustRightInd/>
        <w:snapToGrid/>
        <w:spacing w:after="0" w:line="520" w:lineRule="exact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cs="Times New Roman" w:asciiTheme="minorEastAsia" w:hAnsiTheme="minorEastAsia" w:eastAsiaTheme="minorEastAsia"/>
          <w:sz w:val="24"/>
          <w:szCs w:val="24"/>
        </w:rPr>
        <w:t>（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2</w:t>
      </w:r>
      <w:r>
        <w:rPr>
          <w:rFonts w:cs="Times New Roman" w:asciiTheme="minorEastAsia" w:hAnsiTheme="minorEastAsia" w:eastAsiaTheme="minorEastAsia"/>
          <w:sz w:val="24"/>
          <w:szCs w:val="24"/>
        </w:rPr>
        <w:t>）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会正确</w:t>
      </w:r>
      <w:r>
        <w:rPr>
          <w:rFonts w:cs="Times New Roman" w:asciiTheme="minorEastAsia" w:hAnsiTheme="minorEastAsia" w:eastAsiaTheme="minorEastAsia"/>
          <w:sz w:val="24"/>
          <w:szCs w:val="24"/>
        </w:rPr>
        <w:t>使用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食品检测</w:t>
      </w:r>
      <w:r>
        <w:rPr>
          <w:rFonts w:cs="Times New Roman" w:asciiTheme="minorEastAsia" w:hAnsiTheme="minorEastAsia" w:eastAsiaTheme="minorEastAsia"/>
          <w:sz w:val="24"/>
          <w:szCs w:val="24"/>
        </w:rPr>
        <w:t>常用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检测仪器</w:t>
      </w:r>
      <w:r>
        <w:rPr>
          <w:rFonts w:cs="Times New Roman" w:asciiTheme="minorEastAsia" w:hAnsiTheme="minorEastAsia" w:eastAsiaTheme="minorEastAsia"/>
          <w:sz w:val="24"/>
          <w:szCs w:val="24"/>
        </w:rPr>
        <w:t>、设备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；</w:t>
      </w:r>
    </w:p>
    <w:p w14:paraId="741DA8E5">
      <w:pPr>
        <w:adjustRightInd/>
        <w:snapToGrid/>
        <w:spacing w:after="0" w:line="520" w:lineRule="exact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（3）能</w:t>
      </w:r>
      <w:r>
        <w:rPr>
          <w:rFonts w:cs="Times New Roman" w:asciiTheme="minorEastAsia" w:hAnsiTheme="minorEastAsia" w:eastAsiaTheme="minorEastAsia"/>
          <w:sz w:val="24"/>
          <w:szCs w:val="24"/>
        </w:rPr>
        <w:t>按检验要求预处理检测样品；</w:t>
      </w:r>
    </w:p>
    <w:p w14:paraId="30E5605D">
      <w:pPr>
        <w:adjustRightInd/>
        <w:snapToGrid/>
        <w:spacing w:after="0" w:line="520" w:lineRule="exact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（4）能</w:t>
      </w:r>
      <w:r>
        <w:rPr>
          <w:rFonts w:cs="Times New Roman" w:asciiTheme="minorEastAsia" w:hAnsiTheme="minorEastAsia" w:eastAsiaTheme="minorEastAsia"/>
          <w:sz w:val="24"/>
          <w:szCs w:val="24"/>
        </w:rPr>
        <w:t>按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标准</w:t>
      </w:r>
      <w:r>
        <w:rPr>
          <w:rFonts w:cs="Times New Roman" w:asciiTheme="minorEastAsia" w:hAnsiTheme="minorEastAsia" w:eastAsiaTheme="minorEastAsia"/>
          <w:sz w:val="24"/>
          <w:szCs w:val="24"/>
        </w:rPr>
        <w:t>或技术方案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规范检测；</w:t>
      </w:r>
    </w:p>
    <w:p w14:paraId="6AAE9D55">
      <w:pPr>
        <w:adjustRightInd/>
        <w:snapToGrid/>
        <w:spacing w:after="0" w:line="520" w:lineRule="exact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（5）正确</w:t>
      </w:r>
      <w:r>
        <w:rPr>
          <w:rFonts w:cs="Times New Roman" w:asciiTheme="minorEastAsia" w:hAnsiTheme="minorEastAsia" w:eastAsiaTheme="minorEastAsia"/>
          <w:sz w:val="24"/>
          <w:szCs w:val="24"/>
        </w:rPr>
        <w:t>及时记录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、</w:t>
      </w:r>
      <w:r>
        <w:rPr>
          <w:rFonts w:cs="Times New Roman" w:asciiTheme="minorEastAsia" w:hAnsiTheme="minorEastAsia" w:eastAsiaTheme="minorEastAsia"/>
          <w:sz w:val="24"/>
          <w:szCs w:val="24"/>
        </w:rPr>
        <w:t>处理数据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；</w:t>
      </w:r>
    </w:p>
    <w:p w14:paraId="47D6C602">
      <w:pPr>
        <w:adjustRightInd/>
        <w:snapToGrid/>
        <w:spacing w:after="0" w:line="520" w:lineRule="exact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（6）会</w:t>
      </w:r>
      <w:r>
        <w:rPr>
          <w:rFonts w:cs="Times New Roman" w:asciiTheme="minorEastAsia" w:hAnsiTheme="minorEastAsia" w:eastAsiaTheme="minorEastAsia"/>
          <w:sz w:val="24"/>
          <w:szCs w:val="24"/>
        </w:rPr>
        <w:t>判定检测结果，并评价产品品质。</w:t>
      </w:r>
    </w:p>
    <w:p w14:paraId="1577056F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bCs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5.</w:t>
      </w:r>
      <w:r>
        <w:rPr>
          <w:rFonts w:cs="Times New Roman" w:asciiTheme="minorEastAsia" w:hAnsiTheme="minorEastAsia" w:eastAsiaTheme="minorEastAsia"/>
          <w:sz w:val="24"/>
          <w:szCs w:val="24"/>
        </w:rPr>
        <w:t>考试内容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分值分配</w:t>
      </w:r>
      <w:r>
        <w:rPr>
          <w:rFonts w:cs="Times New Roman" w:asciiTheme="minorEastAsia" w:hAnsiTheme="minorEastAsia" w:eastAsiaTheme="minorEastAsia"/>
          <w:sz w:val="24"/>
          <w:szCs w:val="24"/>
        </w:rPr>
        <w:t>见下表：</w:t>
      </w:r>
      <w:r>
        <w:rPr>
          <w:rFonts w:hint="eastAsia" w:cs="Times New Roman" w:asciiTheme="minorEastAsia" w:hAnsiTheme="minorEastAsia" w:eastAsiaTheme="minorEastAsia"/>
          <w:bCs/>
          <w:sz w:val="24"/>
          <w:szCs w:val="24"/>
        </w:rPr>
        <w:t xml:space="preserve"> </w:t>
      </w:r>
    </w:p>
    <w:tbl>
      <w:tblPr>
        <w:tblStyle w:val="7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32"/>
        <w:gridCol w:w="1525"/>
        <w:gridCol w:w="1525"/>
        <w:gridCol w:w="1385"/>
        <w:gridCol w:w="1385"/>
        <w:gridCol w:w="1384"/>
      </w:tblGrid>
      <w:tr w14:paraId="117593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12182A79">
            <w:pPr>
              <w:adjustRightInd/>
              <w:snapToGrid/>
              <w:spacing w:after="0"/>
              <w:jc w:val="center"/>
              <w:rPr>
                <w:rFonts w:hint="eastAsia" w:cs="Times New Roman" w:asciiTheme="minorEastAsia" w:hAnsiTheme="minorEastAsia" w:eastAsiaTheme="minorEastAsia"/>
                <w:b/>
              </w:rPr>
            </w:pPr>
            <w:r>
              <w:rPr>
                <w:rFonts w:cs="Times New Roman" w:asciiTheme="minorEastAsia" w:hAnsiTheme="minorEastAsia" w:eastAsiaTheme="minorEastAsia"/>
                <w:b/>
              </w:rPr>
              <w:t>考试内容</w:t>
            </w:r>
          </w:p>
        </w:tc>
        <w:tc>
          <w:tcPr>
            <w:tcW w:w="9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2231CF">
            <w:pPr>
              <w:adjustRightInd/>
              <w:snapToGrid/>
              <w:spacing w:after="0"/>
              <w:jc w:val="center"/>
              <w:rPr>
                <w:rFonts w:hint="eastAsia" w:cs="Times New Roman" w:asciiTheme="minorEastAsia" w:hAnsiTheme="minorEastAsia" w:eastAsiaTheme="minorEastAsia"/>
                <w:b/>
              </w:rPr>
            </w:pPr>
            <w:r>
              <w:rPr>
                <w:rFonts w:hint="eastAsia" w:cs="Times New Roman" w:asciiTheme="minorEastAsia" w:hAnsiTheme="minorEastAsia" w:eastAsiaTheme="minorEastAsia"/>
                <w:b/>
              </w:rPr>
              <w:t>试剂与培养基的配制</w:t>
            </w:r>
          </w:p>
        </w:tc>
        <w:tc>
          <w:tcPr>
            <w:tcW w:w="9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6EDDA179">
            <w:pPr>
              <w:adjustRightInd/>
              <w:snapToGrid/>
              <w:spacing w:after="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cs="Times New Roman" w:asciiTheme="minorEastAsia" w:hAnsiTheme="minorEastAsia" w:eastAsiaTheme="minorEastAsia"/>
                <w:b/>
              </w:rPr>
              <w:t>选用合适的检验设备与试剂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47887F8A">
            <w:pPr>
              <w:adjustRightInd/>
              <w:snapToGrid/>
              <w:spacing w:after="0"/>
              <w:jc w:val="center"/>
              <w:rPr>
                <w:rFonts w:hint="eastAsia" w:cs="Times New Roman" w:asciiTheme="minorEastAsia" w:hAnsiTheme="minorEastAsia" w:eastAsiaTheme="minorEastAsia"/>
                <w:b/>
              </w:rPr>
            </w:pPr>
            <w:r>
              <w:rPr>
                <w:rFonts w:hint="eastAsia" w:cs="Times New Roman" w:asciiTheme="minorEastAsia" w:hAnsiTheme="minorEastAsia" w:eastAsiaTheme="minorEastAsia"/>
                <w:b/>
              </w:rPr>
              <w:t>检测</w:t>
            </w:r>
            <w:r>
              <w:rPr>
                <w:rFonts w:cs="Times New Roman" w:asciiTheme="minorEastAsia" w:hAnsiTheme="minorEastAsia" w:eastAsiaTheme="minorEastAsia"/>
                <w:b/>
              </w:rPr>
              <w:t>操作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5A91B037">
            <w:pPr>
              <w:adjustRightInd/>
              <w:snapToGrid/>
              <w:spacing w:after="0"/>
              <w:jc w:val="center"/>
              <w:rPr>
                <w:rFonts w:hint="eastAsia" w:cs="Times New Roman" w:asciiTheme="minorEastAsia" w:hAnsiTheme="minorEastAsia" w:eastAsiaTheme="minorEastAsia"/>
                <w:b/>
              </w:rPr>
            </w:pPr>
            <w:r>
              <w:rPr>
                <w:rFonts w:cs="Times New Roman" w:asciiTheme="minorEastAsia" w:hAnsiTheme="minorEastAsia" w:eastAsiaTheme="minorEastAsia"/>
                <w:b/>
              </w:rPr>
              <w:t>数据记录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221B14">
            <w:pPr>
              <w:adjustRightInd/>
              <w:snapToGrid/>
              <w:spacing w:after="0"/>
              <w:jc w:val="center"/>
              <w:rPr>
                <w:rFonts w:hint="eastAsia" w:cs="Times New Roman" w:asciiTheme="minorEastAsia" w:hAnsiTheme="minorEastAsia" w:eastAsiaTheme="minorEastAsia"/>
                <w:b/>
              </w:rPr>
            </w:pPr>
            <w:r>
              <w:rPr>
                <w:rFonts w:hint="eastAsia" w:cs="Times New Roman" w:asciiTheme="minorEastAsia" w:hAnsiTheme="minorEastAsia" w:eastAsiaTheme="minorEastAsia"/>
                <w:b/>
              </w:rPr>
              <w:t>结果评价</w:t>
            </w:r>
          </w:p>
        </w:tc>
      </w:tr>
      <w:tr w14:paraId="374F91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66B108A8">
            <w:pPr>
              <w:adjustRightInd/>
              <w:snapToGrid/>
              <w:spacing w:after="0"/>
              <w:jc w:val="center"/>
              <w:rPr>
                <w:rFonts w:hint="eastAsia" w:cs="Times New Roman" w:asciiTheme="minorEastAsia" w:hAnsiTheme="minorEastAsia" w:eastAsiaTheme="minorEastAsia"/>
              </w:rPr>
            </w:pPr>
            <w:r>
              <w:rPr>
                <w:rFonts w:hint="eastAsia" w:cs="Times New Roman" w:asciiTheme="minorEastAsia" w:hAnsiTheme="minorEastAsia" w:eastAsiaTheme="minorEastAsia"/>
              </w:rPr>
              <w:t>分值分配</w:t>
            </w:r>
          </w:p>
        </w:tc>
        <w:tc>
          <w:tcPr>
            <w:tcW w:w="9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0A5F6D0">
            <w:pPr>
              <w:adjustRightInd/>
              <w:snapToGrid/>
              <w:spacing w:after="0"/>
              <w:jc w:val="center"/>
              <w:rPr>
                <w:rFonts w:hint="eastAsia" w:cs="Times New Roman" w:asciiTheme="minorEastAsia" w:hAnsiTheme="minorEastAsia" w:eastAsiaTheme="minorEastAsia"/>
              </w:rPr>
            </w:pPr>
            <w:r>
              <w:rPr>
                <w:rFonts w:hint="eastAsia" w:cs="Times New Roman" w:asciiTheme="minorEastAsia" w:hAnsiTheme="minorEastAsia" w:eastAsiaTheme="minorEastAsia"/>
              </w:rPr>
              <w:t>30</w:t>
            </w:r>
          </w:p>
        </w:tc>
        <w:tc>
          <w:tcPr>
            <w:tcW w:w="9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69FA64F9">
            <w:pPr>
              <w:adjustRightInd/>
              <w:snapToGrid/>
              <w:spacing w:after="0"/>
              <w:jc w:val="center"/>
              <w:rPr>
                <w:rFonts w:hint="eastAsia" w:cs="Times New Roman" w:asciiTheme="minorEastAsia" w:hAnsiTheme="minorEastAsia" w:eastAsiaTheme="minorEastAsia"/>
              </w:rPr>
            </w:pPr>
            <w:r>
              <w:rPr>
                <w:rFonts w:hint="eastAsia" w:cs="Times New Roman" w:asciiTheme="minorEastAsia" w:hAnsiTheme="minorEastAsia" w:eastAsiaTheme="minorEastAsia"/>
              </w:rPr>
              <w:t>20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46009560">
            <w:pPr>
              <w:adjustRightInd/>
              <w:snapToGrid/>
              <w:spacing w:after="0"/>
              <w:jc w:val="center"/>
              <w:rPr>
                <w:rFonts w:hint="eastAsia" w:cs="Times New Roman" w:asciiTheme="minorEastAsia" w:hAnsiTheme="minorEastAsia" w:eastAsiaTheme="minorEastAsia"/>
              </w:rPr>
            </w:pPr>
            <w:r>
              <w:rPr>
                <w:rFonts w:hint="eastAsia" w:cs="Times New Roman" w:asciiTheme="minorEastAsia" w:hAnsiTheme="minorEastAsia" w:eastAsiaTheme="minorEastAsia"/>
              </w:rPr>
              <w:t>60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 w14:paraId="1F6F5373">
            <w:pPr>
              <w:adjustRightInd/>
              <w:snapToGrid/>
              <w:spacing w:after="0"/>
              <w:jc w:val="center"/>
              <w:rPr>
                <w:rFonts w:hint="eastAsia" w:cs="Times New Roman" w:asciiTheme="minorEastAsia" w:hAnsiTheme="minorEastAsia" w:eastAsiaTheme="minorEastAsia"/>
              </w:rPr>
            </w:pPr>
            <w:r>
              <w:rPr>
                <w:rFonts w:hint="eastAsia" w:cs="Times New Roman" w:asciiTheme="minorEastAsia" w:hAnsiTheme="minorEastAsia" w:eastAsiaTheme="minorEastAsia"/>
              </w:rPr>
              <w:t>30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138E0">
            <w:pPr>
              <w:adjustRightInd/>
              <w:snapToGrid/>
              <w:spacing w:after="0"/>
              <w:jc w:val="center"/>
              <w:rPr>
                <w:rFonts w:hint="eastAsia" w:cs="Times New Roman" w:asciiTheme="minorEastAsia" w:hAnsiTheme="minorEastAsia" w:eastAsiaTheme="minorEastAsia"/>
              </w:rPr>
            </w:pPr>
            <w:r>
              <w:rPr>
                <w:rFonts w:hint="eastAsia" w:cs="Times New Roman" w:asciiTheme="minorEastAsia" w:hAnsiTheme="minorEastAsia" w:eastAsiaTheme="minorEastAsia"/>
              </w:rPr>
              <w:t>40</w:t>
            </w:r>
          </w:p>
        </w:tc>
      </w:tr>
    </w:tbl>
    <w:p w14:paraId="028F1C66">
      <w:pPr>
        <w:adjustRightInd/>
        <w:snapToGrid/>
        <w:spacing w:before="120" w:beforeLines="50" w:after="0" w:line="360" w:lineRule="auto"/>
        <w:ind w:firstLine="482" w:firstLineChars="200"/>
        <w:rPr>
          <w:rFonts w:hint="eastAsia" w:cs="Times New Roman" w:asciiTheme="minorEastAsia" w:hAnsiTheme="minorEastAsia" w:eastAsiaTheme="minorEastAsia"/>
          <w:b/>
          <w:bCs/>
          <w:sz w:val="24"/>
          <w:szCs w:val="24"/>
        </w:rPr>
      </w:pPr>
      <w:r>
        <w:rPr>
          <w:rFonts w:cs="Times New Roman" w:asciiTheme="minorEastAsia" w:hAnsiTheme="minorEastAsia" w:eastAsiaTheme="minorEastAsia"/>
          <w:b/>
          <w:bCs/>
          <w:sz w:val="24"/>
          <w:szCs w:val="24"/>
        </w:rPr>
        <w:t>三、考试内容</w:t>
      </w:r>
    </w:p>
    <w:p w14:paraId="4741308C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（一）小操作</w:t>
      </w:r>
    </w:p>
    <w:p w14:paraId="2AF04D3F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bCs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1.</w:t>
      </w:r>
      <w:r>
        <w:rPr>
          <w:rFonts w:hint="eastAsia" w:cs="Times New Roman" w:asciiTheme="minorEastAsia" w:hAnsiTheme="minorEastAsia" w:eastAsiaTheme="minorEastAsia"/>
          <w:bCs/>
          <w:sz w:val="24"/>
          <w:szCs w:val="24"/>
        </w:rPr>
        <w:t xml:space="preserve"> EDTA、氢氧化钠的标定</w:t>
      </w:r>
    </w:p>
    <w:p w14:paraId="5FD020F5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bCs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bCs/>
          <w:sz w:val="24"/>
          <w:szCs w:val="24"/>
        </w:rPr>
        <w:t>（1）相关防护工作</w:t>
      </w:r>
    </w:p>
    <w:p w14:paraId="4E8D4440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bCs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bCs/>
          <w:sz w:val="24"/>
          <w:szCs w:val="24"/>
        </w:rPr>
        <w:t>（2）依据GB/T 601-2016 《化学试剂 标准滴定溶液的制备》</w:t>
      </w:r>
    </w:p>
    <w:p w14:paraId="1C801EA6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bCs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bCs/>
          <w:sz w:val="24"/>
          <w:szCs w:val="24"/>
        </w:rPr>
        <w:t>（3）标定</w:t>
      </w:r>
    </w:p>
    <w:p w14:paraId="7A248025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bCs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bCs/>
          <w:sz w:val="24"/>
          <w:szCs w:val="24"/>
        </w:rPr>
        <w:t>（4）标识</w:t>
      </w:r>
    </w:p>
    <w:p w14:paraId="65551455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bCs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bCs/>
          <w:sz w:val="24"/>
          <w:szCs w:val="24"/>
        </w:rPr>
        <w:t>（5）整理检测场地</w:t>
      </w:r>
    </w:p>
    <w:p w14:paraId="0BF9FBB1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bCs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2.</w:t>
      </w:r>
      <w:r>
        <w:rPr>
          <w:rFonts w:hint="eastAsia" w:cs="Times New Roman" w:asciiTheme="minorEastAsia" w:hAnsiTheme="minorEastAsia" w:eastAsiaTheme="minorEastAsia"/>
          <w:bCs/>
          <w:sz w:val="24"/>
          <w:szCs w:val="24"/>
        </w:rPr>
        <w:t xml:space="preserve"> PCA培养基、BGLB肉汤的配制</w:t>
      </w:r>
    </w:p>
    <w:p w14:paraId="10395D9E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bCs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bCs/>
          <w:sz w:val="24"/>
          <w:szCs w:val="24"/>
        </w:rPr>
        <w:t>（1）计算</w:t>
      </w:r>
    </w:p>
    <w:p w14:paraId="03C91F3D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bCs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bCs/>
          <w:sz w:val="24"/>
          <w:szCs w:val="24"/>
        </w:rPr>
        <w:t>（2）称量</w:t>
      </w:r>
    </w:p>
    <w:p w14:paraId="55C01A69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bCs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bCs/>
          <w:sz w:val="24"/>
          <w:szCs w:val="24"/>
        </w:rPr>
        <w:t>（3）加热溶解</w:t>
      </w:r>
    </w:p>
    <w:p w14:paraId="45C21146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bCs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bCs/>
          <w:sz w:val="24"/>
          <w:szCs w:val="24"/>
        </w:rPr>
        <w:t>（4）包扎</w:t>
      </w:r>
    </w:p>
    <w:p w14:paraId="411D902F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bCs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bCs/>
          <w:sz w:val="24"/>
          <w:szCs w:val="24"/>
        </w:rPr>
        <w:t>（5）标识</w:t>
      </w:r>
    </w:p>
    <w:p w14:paraId="2631282D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bCs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bCs/>
          <w:sz w:val="24"/>
          <w:szCs w:val="24"/>
        </w:rPr>
        <w:t>（二）大操作</w:t>
      </w:r>
    </w:p>
    <w:p w14:paraId="46DF1CAA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bCs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bCs/>
          <w:sz w:val="24"/>
          <w:szCs w:val="24"/>
        </w:rPr>
        <w:t>1.</w:t>
      </w:r>
      <w:r>
        <w:rPr>
          <w:rFonts w:hint="eastAsia"/>
        </w:rPr>
        <w:t xml:space="preserve"> </w:t>
      </w:r>
      <w:r>
        <w:rPr>
          <w:rFonts w:hint="eastAsia" w:cs="Times New Roman" w:asciiTheme="minorEastAsia" w:hAnsiTheme="minorEastAsia" w:eastAsiaTheme="minorEastAsia"/>
          <w:bCs/>
          <w:sz w:val="24"/>
          <w:szCs w:val="24"/>
        </w:rPr>
        <w:t>大豆中粗脂肪的测定</w:t>
      </w:r>
    </w:p>
    <w:p w14:paraId="785B892F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（1）检测样品（制备好的大豆样品）</w:t>
      </w:r>
    </w:p>
    <w:p w14:paraId="6AAAD1B3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（2）选定所需的检测设备（工具）与试剂</w:t>
      </w:r>
    </w:p>
    <w:p w14:paraId="363BA329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 xml:space="preserve"> (3) 按标准要求进行检测</w:t>
      </w:r>
    </w:p>
    <w:p w14:paraId="28EF1B49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（4）填写实验结果记录表</w:t>
      </w:r>
    </w:p>
    <w:p w14:paraId="77F68C9E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（5）对所测结果做出符合性判断</w:t>
      </w:r>
    </w:p>
    <w:p w14:paraId="487D8614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（6）实验后清洁和整理</w:t>
      </w:r>
    </w:p>
    <w:p w14:paraId="128D90B3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2.食醋中的总酸测定</w:t>
      </w:r>
    </w:p>
    <w:p w14:paraId="5BF4D7ED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（1）检测样品（食醋）</w:t>
      </w:r>
    </w:p>
    <w:p w14:paraId="5B0C8214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（2）选定所需的检测设备（工具）与试剂</w:t>
      </w:r>
    </w:p>
    <w:p w14:paraId="09E71116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 xml:space="preserve"> (3) 按标准要求进行检测</w:t>
      </w:r>
    </w:p>
    <w:p w14:paraId="008727FA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（4）填写实验结果记录表</w:t>
      </w:r>
    </w:p>
    <w:p w14:paraId="5C155106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（5）对所测结果做出符合性判断</w:t>
      </w:r>
    </w:p>
    <w:p w14:paraId="38D23DA8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（6）实验后清洁和整理</w:t>
      </w:r>
    </w:p>
    <w:p w14:paraId="7494193D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3.饼干中菌落总数的测定</w:t>
      </w:r>
    </w:p>
    <w:p w14:paraId="709936BD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（1）检测样品（预包装非夹心饼干）预处理</w:t>
      </w:r>
    </w:p>
    <w:p w14:paraId="40D5DAFC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（2）选定所需的检测设备（工具）与试剂</w:t>
      </w:r>
    </w:p>
    <w:p w14:paraId="673EC5CB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 xml:space="preserve"> (3) 按标准要求进行检测</w:t>
      </w:r>
    </w:p>
    <w:p w14:paraId="6E36EB30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（4）填写实验结果记录表</w:t>
      </w:r>
    </w:p>
    <w:p w14:paraId="4BE98699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（5）对所测结果做出符合性判断</w:t>
      </w:r>
    </w:p>
    <w:p w14:paraId="58DD86A7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（6）实验后清洁和整理</w:t>
      </w:r>
    </w:p>
    <w:p w14:paraId="4583A429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4.保健饮料中大肠菌群的测定</w:t>
      </w:r>
    </w:p>
    <w:p w14:paraId="663D9D85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（1）检测样品（液体保健饮料）预处理</w:t>
      </w:r>
    </w:p>
    <w:p w14:paraId="64D0F558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（2）选定所需的检测设备（工具）与试剂</w:t>
      </w:r>
    </w:p>
    <w:p w14:paraId="3F611EBD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 xml:space="preserve"> (3) 按标准要求进行检测</w:t>
      </w:r>
    </w:p>
    <w:p w14:paraId="0BE51679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（4）填写实验结果记录表</w:t>
      </w:r>
    </w:p>
    <w:p w14:paraId="6E9BE351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（5）对所测结果做出符合性判断</w:t>
      </w:r>
    </w:p>
    <w:p w14:paraId="6D6C7F94">
      <w:pPr>
        <w:adjustRightInd/>
        <w:snapToGrid/>
        <w:spacing w:after="0" w:line="360" w:lineRule="auto"/>
        <w:ind w:firstLine="480" w:firstLineChars="20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（6）实验后清洁和整理</w:t>
      </w:r>
    </w:p>
    <w:p w14:paraId="766732FE">
      <w:pPr>
        <w:spacing w:after="0" w:line="360" w:lineRule="auto"/>
        <w:ind w:firstLine="422" w:firstLineChars="200"/>
        <w:rPr>
          <w:rFonts w:hint="eastAsia" w:cs="Times New Roman" w:asciiTheme="minorEastAsia" w:hAnsiTheme="minorEastAsia" w:eastAsiaTheme="minorEastAsia"/>
          <w:b/>
          <w:sz w:val="21"/>
          <w:szCs w:val="21"/>
        </w:rPr>
      </w:pPr>
    </w:p>
    <w:sectPr>
      <w:footerReference r:id="rId5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09284344"/>
      <w:docPartObj>
        <w:docPartGallery w:val="AutoText"/>
      </w:docPartObj>
    </w:sdtPr>
    <w:sdtEndPr>
      <w:rPr>
        <w:rFonts w:asciiTheme="minorEastAsia" w:hAnsiTheme="minorEastAsia" w:eastAsiaTheme="minorEastAsia"/>
      </w:rPr>
    </w:sdtEndPr>
    <w:sdtContent>
      <w:sdt>
        <w:sdtPr>
          <w:id w:val="98381352"/>
          <w:docPartObj>
            <w:docPartGallery w:val="AutoText"/>
          </w:docPartObj>
        </w:sdtPr>
        <w:sdtEndPr>
          <w:rPr>
            <w:rFonts w:asciiTheme="minorEastAsia" w:hAnsiTheme="minorEastAsia" w:eastAsiaTheme="minorEastAsia"/>
          </w:rPr>
        </w:sdtEndPr>
        <w:sdtContent>
          <w:p w14:paraId="174CECC1">
            <w:pPr>
              <w:pStyle w:val="4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val="zh-CN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 w:eastAsiaTheme="minorEastAsia"/>
                <w:b/>
                <w:bCs/>
              </w:rPr>
              <w:instrText xml:space="preserve">PAGE</w:instrTex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Theme="minorEastAsia" w:hAnsiTheme="minorEastAsia" w:eastAsiaTheme="minorEastAsia"/>
                <w:b/>
                <w:bCs/>
              </w:rPr>
              <w:t>3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 w:eastAsiaTheme="minorEastAsia"/>
                <w:lang w:val="zh-CN"/>
              </w:rPr>
              <w:t xml:space="preserve"> / 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 w:eastAsiaTheme="minorEastAsia"/>
                <w:b/>
                <w:bCs/>
              </w:rPr>
              <w:instrText xml:space="preserve">NUMPAGES</w:instrTex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Theme="minorEastAsia" w:hAnsiTheme="minorEastAsia" w:eastAsiaTheme="minorEastAsia"/>
                <w:b/>
                <w:bCs/>
              </w:rPr>
              <w:t>3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236840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36DEE"/>
    <w:rsid w:val="00041B6A"/>
    <w:rsid w:val="00051C7C"/>
    <w:rsid w:val="00070F03"/>
    <w:rsid w:val="00084AA9"/>
    <w:rsid w:val="0009042F"/>
    <w:rsid w:val="00092411"/>
    <w:rsid w:val="00095485"/>
    <w:rsid w:val="00095C4D"/>
    <w:rsid w:val="0009794D"/>
    <w:rsid w:val="000B0069"/>
    <w:rsid w:val="000E5041"/>
    <w:rsid w:val="000F56E5"/>
    <w:rsid w:val="00101819"/>
    <w:rsid w:val="001102A2"/>
    <w:rsid w:val="00112511"/>
    <w:rsid w:val="0012487D"/>
    <w:rsid w:val="0014257F"/>
    <w:rsid w:val="001478B2"/>
    <w:rsid w:val="00154AD9"/>
    <w:rsid w:val="00170F38"/>
    <w:rsid w:val="00180376"/>
    <w:rsid w:val="0018677D"/>
    <w:rsid w:val="001C7D15"/>
    <w:rsid w:val="001D25AD"/>
    <w:rsid w:val="002116B5"/>
    <w:rsid w:val="0021338B"/>
    <w:rsid w:val="00260D48"/>
    <w:rsid w:val="00263788"/>
    <w:rsid w:val="00266AF8"/>
    <w:rsid w:val="00290267"/>
    <w:rsid w:val="002B0300"/>
    <w:rsid w:val="002C0B4F"/>
    <w:rsid w:val="002C2EB7"/>
    <w:rsid w:val="002D1106"/>
    <w:rsid w:val="002E30B9"/>
    <w:rsid w:val="002F5A58"/>
    <w:rsid w:val="00313560"/>
    <w:rsid w:val="00323B43"/>
    <w:rsid w:val="00325C47"/>
    <w:rsid w:val="00326A9A"/>
    <w:rsid w:val="00341BB4"/>
    <w:rsid w:val="00394A39"/>
    <w:rsid w:val="00395F08"/>
    <w:rsid w:val="003B0D65"/>
    <w:rsid w:val="003C0B4D"/>
    <w:rsid w:val="003C2787"/>
    <w:rsid w:val="003D37D8"/>
    <w:rsid w:val="0041497B"/>
    <w:rsid w:val="00416165"/>
    <w:rsid w:val="00426133"/>
    <w:rsid w:val="0043369B"/>
    <w:rsid w:val="004358AB"/>
    <w:rsid w:val="00447800"/>
    <w:rsid w:val="0045212D"/>
    <w:rsid w:val="00453D35"/>
    <w:rsid w:val="00466BB5"/>
    <w:rsid w:val="004813BA"/>
    <w:rsid w:val="004862FE"/>
    <w:rsid w:val="004A43C1"/>
    <w:rsid w:val="004C0563"/>
    <w:rsid w:val="004E7384"/>
    <w:rsid w:val="00507900"/>
    <w:rsid w:val="00511A36"/>
    <w:rsid w:val="00544154"/>
    <w:rsid w:val="00551832"/>
    <w:rsid w:val="00565454"/>
    <w:rsid w:val="00572273"/>
    <w:rsid w:val="00593797"/>
    <w:rsid w:val="005B6999"/>
    <w:rsid w:val="00602CDD"/>
    <w:rsid w:val="00605842"/>
    <w:rsid w:val="0061299F"/>
    <w:rsid w:val="006148FF"/>
    <w:rsid w:val="00636703"/>
    <w:rsid w:val="00636E7F"/>
    <w:rsid w:val="00637CA2"/>
    <w:rsid w:val="00683D2B"/>
    <w:rsid w:val="006968B9"/>
    <w:rsid w:val="00707961"/>
    <w:rsid w:val="00711479"/>
    <w:rsid w:val="00787102"/>
    <w:rsid w:val="007C5CCF"/>
    <w:rsid w:val="0082195B"/>
    <w:rsid w:val="00826123"/>
    <w:rsid w:val="00832BC3"/>
    <w:rsid w:val="008362C5"/>
    <w:rsid w:val="008B213C"/>
    <w:rsid w:val="008B5A46"/>
    <w:rsid w:val="008B7726"/>
    <w:rsid w:val="008E3BB6"/>
    <w:rsid w:val="008E5CE0"/>
    <w:rsid w:val="00904AF0"/>
    <w:rsid w:val="00952532"/>
    <w:rsid w:val="0096447E"/>
    <w:rsid w:val="009720C4"/>
    <w:rsid w:val="009C7FE1"/>
    <w:rsid w:val="009D2EDD"/>
    <w:rsid w:val="009E47CA"/>
    <w:rsid w:val="009E5E09"/>
    <w:rsid w:val="009E79A8"/>
    <w:rsid w:val="00A30B2A"/>
    <w:rsid w:val="00A8337A"/>
    <w:rsid w:val="00AA5994"/>
    <w:rsid w:val="00AB1F80"/>
    <w:rsid w:val="00AC673F"/>
    <w:rsid w:val="00B23AD1"/>
    <w:rsid w:val="00B42A72"/>
    <w:rsid w:val="00B45761"/>
    <w:rsid w:val="00B70402"/>
    <w:rsid w:val="00BD6138"/>
    <w:rsid w:val="00BE1B2F"/>
    <w:rsid w:val="00BF3656"/>
    <w:rsid w:val="00C175BA"/>
    <w:rsid w:val="00C20E57"/>
    <w:rsid w:val="00C25226"/>
    <w:rsid w:val="00C3372F"/>
    <w:rsid w:val="00C37E9F"/>
    <w:rsid w:val="00C55F5B"/>
    <w:rsid w:val="00C63424"/>
    <w:rsid w:val="00C97F50"/>
    <w:rsid w:val="00CB5697"/>
    <w:rsid w:val="00CC1096"/>
    <w:rsid w:val="00D177CD"/>
    <w:rsid w:val="00D31D50"/>
    <w:rsid w:val="00D36D05"/>
    <w:rsid w:val="00D56CA4"/>
    <w:rsid w:val="00D87C2E"/>
    <w:rsid w:val="00D9784B"/>
    <w:rsid w:val="00DB7011"/>
    <w:rsid w:val="00DE0435"/>
    <w:rsid w:val="00DE44F3"/>
    <w:rsid w:val="00E033C1"/>
    <w:rsid w:val="00E07224"/>
    <w:rsid w:val="00E151D9"/>
    <w:rsid w:val="00E53AE8"/>
    <w:rsid w:val="00E549C4"/>
    <w:rsid w:val="00E779A7"/>
    <w:rsid w:val="00EA41FF"/>
    <w:rsid w:val="00EB3091"/>
    <w:rsid w:val="00EC3233"/>
    <w:rsid w:val="00EC652C"/>
    <w:rsid w:val="00ED1280"/>
    <w:rsid w:val="00F02E6A"/>
    <w:rsid w:val="00F12058"/>
    <w:rsid w:val="00F1356B"/>
    <w:rsid w:val="00F17C5B"/>
    <w:rsid w:val="00F2283C"/>
    <w:rsid w:val="00F40E60"/>
    <w:rsid w:val="00F47869"/>
    <w:rsid w:val="00F5121A"/>
    <w:rsid w:val="00F55670"/>
    <w:rsid w:val="00F8045A"/>
    <w:rsid w:val="00F82AF3"/>
    <w:rsid w:val="00F97357"/>
    <w:rsid w:val="00FC292C"/>
    <w:rsid w:val="10FD716C"/>
    <w:rsid w:val="60D3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uiPriority w:val="0"/>
    <w:pPr>
      <w:widowControl w:val="0"/>
      <w:adjustRightInd/>
      <w:snapToGrid/>
      <w:spacing w:after="0"/>
      <w:jc w:val="both"/>
    </w:pPr>
    <w:rPr>
      <w:rFonts w:ascii="宋体" w:hAnsi="Courier New" w:eastAsia="宋体" w:cs="Courier New"/>
      <w:kern w:val="2"/>
      <w:sz w:val="21"/>
      <w:szCs w:val="21"/>
    </w:rPr>
  </w:style>
  <w:style w:type="paragraph" w:styleId="3">
    <w:name w:val="Balloon Text"/>
    <w:basedOn w:val="1"/>
    <w:link w:val="10"/>
    <w:semiHidden/>
    <w:unhideWhenUsed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5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adjustRightInd/>
      <w:snapToGrid/>
      <w:spacing w:after="0"/>
    </w:pPr>
    <w:rPr>
      <w:rFonts w:ascii="宋体" w:hAnsi="宋体" w:eastAsia="宋体" w:cs="宋体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批注框文本 字符"/>
    <w:basedOn w:val="8"/>
    <w:link w:val="3"/>
    <w:semiHidden/>
    <w:uiPriority w:val="99"/>
    <w:rPr>
      <w:rFonts w:ascii="Tahoma" w:hAnsi="Tahoma"/>
      <w:sz w:val="18"/>
      <w:szCs w:val="18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styleId="12">
    <w:name w:val="List Paragraph"/>
    <w:basedOn w:val="1"/>
    <w:qFormat/>
    <w:uiPriority w:val="34"/>
    <w:pPr>
      <w:widowControl w:val="0"/>
      <w:adjustRightInd/>
      <w:snapToGrid/>
      <w:spacing w:after="0"/>
      <w:ind w:firstLine="420" w:firstLineChars="200"/>
      <w:jc w:val="both"/>
    </w:pPr>
    <w:rPr>
      <w:rFonts w:asciiTheme="minorHAnsi" w:hAnsiTheme="minorHAnsi" w:eastAsiaTheme="minorEastAsia"/>
      <w:kern w:val="2"/>
      <w:sz w:val="21"/>
    </w:rPr>
  </w:style>
  <w:style w:type="character" w:customStyle="1" w:styleId="13">
    <w:name w:val="纯文本 字符"/>
    <w:basedOn w:val="8"/>
    <w:link w:val="2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14">
    <w:name w:val="页眉 字符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5">
    <w:name w:val="页脚 字符"/>
    <w:basedOn w:val="8"/>
    <w:link w:val="4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1024</Words>
  <Characters>1081</Characters>
  <Lines>8</Lines>
  <Paragraphs>2</Paragraphs>
  <TotalTime>230</TotalTime>
  <ScaleCrop>false</ScaleCrop>
  <LinksUpToDate>false</LinksUpToDate>
  <CharactersWithSpaces>1097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2019-11-13T13:57:00Z</dcterms:created>
  <dc:creator>Administrator</dc:creator>
  <cp:lastModifiedBy>欧已铭</cp:lastModifiedBy>
  <dcterms:modified xsi:type="dcterms:W3CDTF">2026-03-13T04:46:08Z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619BAF2AA7754AD89541881D92886EB7_13</vt:lpwstr>
  </property>
  <property fmtid="{D5CDD505-2E9C-101B-9397-08002B2CF9AE}" pid="4" name="KSOTemplateDocerSaveRecord">
    <vt:lpwstr>eyJoZGlkIjoiZDliOWM2MzNlZjk4NTNhNjlmZThmZjcxNGE1Y2Q0ZmIiLCJ1c2VySWQiOiI0Mzc3ODg4OTUifQ==</vt:lpwstr>
  </property>
</Properties>
</file>